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696399" w14:textId="77777777" w:rsidR="00E1768D" w:rsidRDefault="00E1768D" w:rsidP="00E1768D">
      <w:pPr>
        <w:spacing w:line="480" w:lineRule="auto"/>
        <w:jc w:val="both"/>
      </w:pPr>
      <w:r>
        <w:rPr>
          <w:b/>
          <w:bCs/>
          <w:color w:val="1F3864"/>
        </w:rPr>
        <w:t>LEGAL ISSUE BRIEF</w:t>
      </w:r>
    </w:p>
    <w:p w14:paraId="611EAA0A" w14:textId="77777777" w:rsidR="00E1768D" w:rsidRDefault="00E1768D" w:rsidP="00E1768D">
      <w:pPr>
        <w:pBdr>
          <w:bottom w:val="single" w:sz="12" w:space="4" w:color="1F3864"/>
        </w:pBdr>
        <w:spacing w:after="120" w:line="480" w:lineRule="auto"/>
        <w:jc w:val="both"/>
      </w:pPr>
      <w:r>
        <w:rPr>
          <w:b/>
          <w:bCs/>
          <w:i/>
          <w:iCs/>
          <w:color w:val="2E74B5"/>
        </w:rPr>
        <w:t>Issue 2, July 2026</w:t>
      </w:r>
    </w:p>
    <w:p w14:paraId="706E2A15" w14:textId="77777777" w:rsidR="00E1768D" w:rsidRDefault="00E1768D" w:rsidP="00E1768D">
      <w:pPr>
        <w:spacing w:after="150"/>
        <w:jc w:val="center"/>
      </w:pPr>
      <w:r>
        <w:rPr>
          <w:b/>
          <w:bCs/>
        </w:rPr>
        <w:t>A REVIEW OF THE LEGAL FRAMEWORK GOVERNING ELECTORAL PROCESSES AND TECHNOLOGICAL INTEGRATION IN NIGERIA</w:t>
      </w:r>
    </w:p>
    <w:p w14:paraId="4D514969" w14:textId="77777777" w:rsidR="00E1768D" w:rsidRDefault="00E1768D" w:rsidP="00E1768D">
      <w:pPr>
        <w:spacing w:after="150"/>
        <w:jc w:val="center"/>
      </w:pPr>
      <w:r>
        <w:rPr>
          <w:b/>
          <w:bCs/>
        </w:rPr>
        <w:t>By</w:t>
      </w:r>
    </w:p>
    <w:p w14:paraId="427A1CA2" w14:textId="77777777" w:rsidR="00E1768D" w:rsidRDefault="00E1768D" w:rsidP="00E1768D">
      <w:pPr>
        <w:spacing w:after="150"/>
        <w:jc w:val="center"/>
      </w:pPr>
      <w:r>
        <w:rPr>
          <w:b/>
          <w:bCs/>
        </w:rPr>
        <w:t>Ibrahim Bello Ibrahim, LLB, LLM, BL, Ph.D</w:t>
      </w:r>
    </w:p>
    <w:p w14:paraId="61A9445F" w14:textId="77777777" w:rsidR="00E1768D" w:rsidRDefault="00E1768D" w:rsidP="00E1768D">
      <w:pPr>
        <w:spacing w:after="150"/>
        <w:jc w:val="center"/>
      </w:pPr>
      <w:r>
        <w:rPr>
          <w:b/>
          <w:bCs/>
        </w:rPr>
        <w:t>Shamsu Yahaya, LLB, LLM, MLD, BL, Ph.D</w:t>
      </w:r>
    </w:p>
    <w:p w14:paraId="35B0E254" w14:textId="77777777" w:rsidR="00E1768D" w:rsidRDefault="00E1768D" w:rsidP="00E1768D">
      <w:pPr>
        <w:spacing w:after="150"/>
        <w:jc w:val="center"/>
      </w:pPr>
      <w:r>
        <w:t>Department of Legislative Support Services</w:t>
      </w:r>
    </w:p>
    <w:p w14:paraId="5DE786FB" w14:textId="77777777" w:rsidR="00E1768D" w:rsidRDefault="00E1768D" w:rsidP="00E1768D">
      <w:pPr>
        <w:spacing w:after="150"/>
        <w:jc w:val="center"/>
      </w:pPr>
      <w:r>
        <w:t>National Assembly Institute for Legislative and Democratic Studies, Abuja</w:t>
      </w:r>
    </w:p>
    <w:p w14:paraId="6B7B9E4E" w14:textId="77777777" w:rsidR="00E1768D" w:rsidRDefault="00E1768D" w:rsidP="00E1768D">
      <w:pPr>
        <w:spacing w:before="300" w:after="200"/>
        <w:rPr>
          <w:b/>
          <w:bCs/>
        </w:rPr>
      </w:pPr>
    </w:p>
    <w:p w14:paraId="49A10463" w14:textId="18D982CC" w:rsidR="00E1768D" w:rsidRDefault="00E1768D" w:rsidP="00E1768D">
      <w:pPr>
        <w:spacing w:before="300" w:after="200"/>
      </w:pPr>
      <w:r>
        <w:rPr>
          <w:b/>
          <w:bCs/>
        </w:rPr>
        <w:t>1. INTRODUCTION</w:t>
      </w:r>
    </w:p>
    <w:p w14:paraId="41321C76" w14:textId="77777777" w:rsidR="00E1768D" w:rsidRDefault="00E1768D" w:rsidP="00E1768D">
      <w:pPr>
        <w:spacing w:after="200"/>
        <w:jc w:val="both"/>
      </w:pPr>
      <w:r>
        <w:t>Electoral integrity and technological innovation are critical to sustaining public trust in democratic governance. The enactment of the Electoral Act (Amendment) Act, 2026 followed sustained public and judicial scrutiny of the shortcomings of the Electoral Act, 2022. During the 2023 general election, a substantial proportion of polling-unit results, on some accounts under a third within thirty-six hours of the close of polls, were not uploaded to the INEC Result Viewing Portal, a gap that fuelled widespread allegations of manipulation and gave rise to extensive post-election litigation.</w:t>
      </w:r>
      <w:r>
        <w:rPr>
          <w:vertAlign w:val="superscript"/>
        </w:rPr>
        <w:footnoteReference w:id="1"/>
      </w:r>
      <w:r>
        <w:t xml:space="preserve"> The Supreme Court, interpreting section 60 of the 2022 Act in </w:t>
      </w:r>
      <w:r>
        <w:rPr>
          <w:i/>
          <w:iCs/>
        </w:rPr>
        <w:t>Oyetola &amp; Anor v INEC &amp; Ors</w:t>
      </w:r>
      <w:r>
        <w:t>, held that the electronic transmission of results to the Portal was not a mandatory condition precedent to the validity of an election, since the 2022 Act left the manner of transmission of results to the discretion of the Commission rather than prescribing electronic transmission as a binding legal requirement.</w:t>
      </w:r>
      <w:r>
        <w:rPr>
          <w:vertAlign w:val="superscript"/>
        </w:rPr>
        <w:footnoteReference w:id="2"/>
      </w:r>
      <w:r>
        <w:t xml:space="preserve"> That ruling, while doctrinally sound, was widely perceived as exposing a legislative gap: the 2022 Act had introduced the technology of electronic transmission without correspondingly elevating it to a binding legal obligation, leaving room for disputes as to whether figures on the Portal or </w:t>
      </w:r>
      <w:r>
        <w:lastRenderedPageBreak/>
        <w:t>manually collated figures should prevail where the two diverged. Further drafting inconsistencies, including a mismatch between the statutory cut-off for voter registration and the statutory period prescribed for the display of the voters' register, and recurring ambiguity over the treatment of unstamped, unsigned, or undated result sheets, compounded the case for a comprehensive re-enactment rather than a piecemeal amendment.</w:t>
      </w:r>
      <w:r>
        <w:rPr>
          <w:vertAlign w:val="superscript"/>
        </w:rPr>
        <w:footnoteReference w:id="3"/>
      </w:r>
      <w:r>
        <w:t xml:space="preserve"> These accumulated defects, alongside sustained public pressure for reform following the 2023 elections, informed the National Assembly's decision to repeal the Electoral Act, 2022, and enact the Electoral Act (Amendment) Act, 2026 ahead of the 2027 general elections. </w:t>
      </w:r>
    </w:p>
    <w:p w14:paraId="2FB42AC1" w14:textId="0074FA25" w:rsidR="00E1768D" w:rsidRPr="00E1768D" w:rsidRDefault="00E1768D" w:rsidP="00E1768D">
      <w:pPr>
        <w:spacing w:after="200"/>
        <w:jc w:val="both"/>
      </w:pPr>
      <w:r>
        <w:t>Following public debate regarding voter accreditation, result transmission, and logistical administration during previous electoral cycles, President Bola Ahmed Tinubu signed the Electoral Act (Amendment) Act, 2026 into law on 18 February 2026, ahead of the 2027 general elections.</w:t>
      </w:r>
      <w:r>
        <w:rPr>
          <w:vertAlign w:val="superscript"/>
        </w:rPr>
        <w:footnoteReference w:id="4"/>
      </w:r>
      <w:r>
        <w:t xml:space="preserve"> The amendment followed a bipartisan conference committee process to harmonise differing versions of the Bill passed by both chambers of the National Assembly.</w:t>
      </w:r>
      <w:r>
        <w:rPr>
          <w:vertAlign w:val="superscript"/>
        </w:rPr>
        <w:footnoteReference w:id="5"/>
      </w:r>
      <w:r>
        <w:t xml:space="preserve"> The new legislation introduces procedural adjustments ahead of the 2027 general elections, including statutory confirmation of the Independent National Electoral Commission Result Viewing Portal and mandatory electronic transmission of results, revised timelines for election notices and candidate nominations, the abolition of indirect party primaries, and earlier statutory release of INEC's election funding.</w:t>
      </w:r>
      <w:r>
        <w:rPr>
          <w:vertAlign w:val="superscript"/>
        </w:rPr>
        <w:footnoteReference w:id="6"/>
      </w:r>
      <w:r>
        <w:t xml:space="preserve"> This Brief reviews the 2026 Act, evaluates its technological implementation requirements, and recommends further legislative action to strengthen electoral administration.</w:t>
      </w:r>
    </w:p>
    <w:p w14:paraId="2DD8F9B8" w14:textId="77777777" w:rsidR="00E1768D" w:rsidRDefault="00E1768D" w:rsidP="00E1768D">
      <w:pPr>
        <w:spacing w:before="300" w:after="200"/>
      </w:pPr>
      <w:r>
        <w:rPr>
          <w:b/>
          <w:bCs/>
        </w:rPr>
        <w:t>2. LEGAL FRAMEWORK ON ELECTORAL PROCESSES IN NIGERIA</w:t>
      </w:r>
    </w:p>
    <w:p w14:paraId="77F0C5E2" w14:textId="77777777" w:rsidR="00E1768D" w:rsidRDefault="00E1768D" w:rsidP="00E1768D">
      <w:pPr>
        <w:spacing w:before="300" w:after="200"/>
      </w:pPr>
      <w:r>
        <w:rPr>
          <w:b/>
          <w:bCs/>
        </w:rPr>
        <w:t>a. Electoral Act (Amendment) Act, 2026 (Act No. 1)</w:t>
      </w:r>
    </w:p>
    <w:p w14:paraId="6AE45839" w14:textId="77777777" w:rsidR="00E1768D" w:rsidRDefault="00E1768D" w:rsidP="00E1768D">
      <w:pPr>
        <w:spacing w:after="200"/>
        <w:jc w:val="both"/>
      </w:pPr>
      <w:r>
        <w:t>Section 47 of the Electroal Act 2026 makes the use of the Bimodal Voter Accreditation System, or any INEC-approved electronic accreditation technology, mandatory for voter accreditation.</w:t>
      </w:r>
      <w:r>
        <w:rPr>
          <w:vertAlign w:val="superscript"/>
        </w:rPr>
        <w:footnoteReference w:id="7"/>
      </w:r>
      <w:r>
        <w:t xml:space="preserve"> Section 60(3) gives statutory recognition to the INEC Result Viewing Portal and mandates </w:t>
      </w:r>
      <w:r>
        <w:lastRenderedPageBreak/>
        <w:t>electronic transmission of polling-unit results, Form EC8A, to that portal, an obligation that did not exist in equivalent terms under the 2022 Act, which left the entire transmission process to INEC's operational discretion.</w:t>
      </w:r>
      <w:r>
        <w:rPr>
          <w:vertAlign w:val="superscript"/>
        </w:rPr>
        <w:footnoteReference w:id="8"/>
      </w:r>
      <w:r>
        <w:t xml:space="preserve"> Under the 2022 Act, the Supreme Court had held that the Result Viewing Portal was a public viewing platform rather than a legal collation system, such that electronically transmitted results carried no independent evidential weight against manually collated figures; the 2026 Act is understood to alter that position for the 2027 election cycle, while the signed physical Form EC8A remains the primary record for collation where transmission fails.</w:t>
      </w:r>
      <w:r>
        <w:rPr>
          <w:vertAlign w:val="superscript"/>
        </w:rPr>
        <w:footnoteReference w:id="9"/>
      </w:r>
      <w:r>
        <w:t xml:space="preserve"> </w:t>
      </w:r>
    </w:p>
    <w:p w14:paraId="55197CEA" w14:textId="77777777" w:rsidR="00E1768D" w:rsidRDefault="00E1768D" w:rsidP="00E1768D">
      <w:pPr>
        <w:spacing w:after="200"/>
        <w:jc w:val="both"/>
      </w:pPr>
      <w:r>
        <w:t>The statutory notice period for elections is adjusted, and political parties are required to submit their list of candidates to INEC not later than 120 days before an election, with INEC mandated to publish the final list of candidates at least 60 days before the election, both periods considerably shorter than under the 2022 Act.</w:t>
      </w:r>
      <w:r>
        <w:rPr>
          <w:vertAlign w:val="superscript"/>
        </w:rPr>
        <w:footnoteReference w:id="10"/>
      </w:r>
      <w:r>
        <w:t xml:space="preserve"> To prevent administrative delay, the Act mandates that funds allocated to INEC for the conduct of a general election be released by the Treasury at least six months before the election date, down from the twelve-month requirement under the prior framework.</w:t>
      </w:r>
      <w:r>
        <w:rPr>
          <w:vertAlign w:val="superscript"/>
        </w:rPr>
        <w:footnoteReference w:id="11"/>
      </w:r>
      <w:r>
        <w:t xml:space="preserve"> The amendment abolishes discretionary indirect primaries, restricting political party candidate selection to direct primaries or consensus arrangements, and requires political parties to maintain a verified digital membership register, to be submitted to INEC at least 21 days before primaries, congresses, or conventions.</w:t>
      </w:r>
      <w:r>
        <w:rPr>
          <w:vertAlign w:val="superscript"/>
        </w:rPr>
        <w:footnoteReference w:id="12"/>
      </w:r>
      <w:r>
        <w:t xml:space="preserve"> </w:t>
      </w:r>
    </w:p>
    <w:p w14:paraId="4DDA00BD" w14:textId="77777777" w:rsidR="00E1768D" w:rsidRDefault="00E1768D" w:rsidP="00E1768D">
      <w:pPr>
        <w:spacing w:after="200"/>
        <w:jc w:val="both"/>
      </w:pPr>
      <w:r>
        <w:t>The 2026 Act raises the ceiling on permissible individual donations to a political party or candidate substantially, and reinforces the constitutional prohibition on political parties holding or retaining funds outside Nigeria.</w:t>
      </w:r>
      <w:r>
        <w:rPr>
          <w:vertAlign w:val="superscript"/>
        </w:rPr>
        <w:footnoteReference w:id="13"/>
      </w:r>
      <w:r>
        <w:t xml:space="preserve"> Fines and custodial penalties for electoral offences, including vote-buying, voter impersonation, deliberate technological sabotage, and unjustified refusal by election officers to upload results, are raised significantly, with custodial sentences of up to five years in some instances, and a two-year term without an option of fine for a Resident Electoral Commissioner who fails to release certified true copies of election documents within twenty-four hours of payment of the prescribed fee.</w:t>
      </w:r>
    </w:p>
    <w:p w14:paraId="3F5B236F" w14:textId="77777777" w:rsidR="00E1768D" w:rsidRDefault="00E1768D" w:rsidP="00E1768D">
      <w:pPr>
        <w:spacing w:before="300" w:after="200"/>
      </w:pPr>
      <w:r>
        <w:rPr>
          <w:b/>
          <w:bCs/>
        </w:rPr>
        <w:lastRenderedPageBreak/>
        <w:t>3. COMMENTS</w:t>
      </w:r>
    </w:p>
    <w:p w14:paraId="36A557A0" w14:textId="22AD0ED2" w:rsidR="00E1768D" w:rsidRPr="00E1768D" w:rsidRDefault="00E1768D" w:rsidP="00E1768D">
      <w:pPr>
        <w:spacing w:after="200"/>
        <w:jc w:val="both"/>
      </w:pPr>
      <w:r>
        <w:t>While section 60(3) strengthens the statutory mandate for real-time electronic transmission of results, telecommunications infrastructure deficits across remote rural constituencies create operational vulnerabilities. Where network transmission fails at the point of upload, results must first be recorded on the signed Form EC8A and transmitted electronically once connectivity is restored.</w:t>
      </w:r>
      <w:r>
        <w:rPr>
          <w:vertAlign w:val="superscript"/>
        </w:rPr>
        <w:footnoteReference w:id="14"/>
      </w:r>
      <w:r>
        <w:t xml:space="preserve"> Without clearly defined statutory standards for encrypted offline queuing on accreditation devices pending signal restoration, temporary network failures could give rise to conflicting interpretations of the legal status of delayed results. The co-existence of the physical Form EC8A as the primary collation record alongside the statutorily recognised electronic Result Viewing Portal requires continued statutory and judicial harmonisation, to prevent conflicting rulings among Election Petition Tribunals as to which record takes precedence in the event of a discrepancy.</w:t>
      </w:r>
      <w:r>
        <w:rPr>
          <w:vertAlign w:val="superscript"/>
        </w:rPr>
        <w:footnoteReference w:id="15"/>
      </w:r>
      <w:r>
        <w:t xml:space="preserve"> Compounding this, the compressed 120-day candidate-nomination timeline under the 2026 Act sits uneasily alongside the pre-existing constitutional timelines for the disposal of election petitions and appeals under section 285 of the Constitution, which together may exceed 300 days from the commencement of proceedings to the exhaustion of all available appeals,</w:t>
      </w:r>
      <w:r>
        <w:rPr>
          <w:vertAlign w:val="superscript"/>
        </w:rPr>
        <w:footnoteReference w:id="16"/>
      </w:r>
      <w:r>
        <w:t xml:space="preserve"> raising the risk that a qualification challenge filed close to a party primary could remain unresolved well after a winner has been declared.</w:t>
      </w:r>
    </w:p>
    <w:p w14:paraId="001F67C6" w14:textId="77777777" w:rsidR="00E1768D" w:rsidRDefault="00E1768D" w:rsidP="00E1768D">
      <w:pPr>
        <w:spacing w:before="300" w:after="200"/>
      </w:pPr>
      <w:r>
        <w:rPr>
          <w:b/>
          <w:bCs/>
        </w:rPr>
        <w:t>4. CROSS-COUNTRY ANALYSIS</w:t>
      </w:r>
    </w:p>
    <w:p w14:paraId="4FDCD7D1" w14:textId="77777777" w:rsidR="00E1768D" w:rsidRDefault="00E1768D" w:rsidP="00E1768D">
      <w:pPr>
        <w:spacing w:before="300" w:after="200"/>
      </w:pPr>
      <w:r>
        <w:rPr>
          <w:b/>
          <w:bCs/>
        </w:rPr>
        <w:t>a. Republic of Ghana</w:t>
      </w:r>
    </w:p>
    <w:p w14:paraId="6650524E" w14:textId="77777777" w:rsidR="00E1768D" w:rsidRDefault="00E1768D" w:rsidP="00E1768D">
      <w:pPr>
        <w:spacing w:after="200"/>
        <w:jc w:val="both"/>
      </w:pPr>
      <w:r>
        <w:t>Ghana's Electoral Commission conducts voter verification at the polling station through a biometric verification device (BVD), which authenticates a registered voter's fingerprint and, since the introduction of updated devices ahead of the 2020 general elections, facial recognition, against the record captured during biometric registration.</w:t>
      </w:r>
      <w:r>
        <w:rPr>
          <w:vertAlign w:val="superscript"/>
        </w:rPr>
        <w:footnoteReference w:id="17"/>
      </w:r>
      <w:r>
        <w:t xml:space="preserve"> The transition to devices supporting facial verification was intended to address a recurring operational difficulty: a significant number of registered voters, including elderly voters, were unable to be authenticated on fingerprint recognition alone, a limitation that had generated delays and </w:t>
      </w:r>
      <w:r>
        <w:lastRenderedPageBreak/>
        <w:t>disputes at polling stations in earlier election cycles.</w:t>
      </w:r>
      <w:r>
        <w:rPr>
          <w:vertAlign w:val="superscript"/>
        </w:rPr>
        <w:footnoteReference w:id="18"/>
      </w:r>
      <w:r>
        <w:t xml:space="preserve"> Where the device is unable to verify a voter through either fingerprint or facial recognition, Ghanaian electoral regulations prescribe a structured manual fallback: the polling assistant must inform the agents of the political parties present, complete a prescribed verification form in the presence of the candidate's or party's agent, and have the verifying officer draw a line across the voter's barcode in the register to record that manual verification occurred.</w:t>
      </w:r>
      <w:r>
        <w:rPr>
          <w:vertAlign w:val="superscript"/>
        </w:rPr>
        <w:footnoteReference w:id="19"/>
      </w:r>
      <w:r>
        <w:t xml:space="preserve"> This layered process, moving from biometric authentication, to facial recognition as a secondary check, to a documented and witnessed manual procedure as a final safeguard, is designed to ensure that no single point of technological failure can either disenfranchise a legitimate voter or create an unverifiable opportunity for multiple voting. </w:t>
      </w:r>
    </w:p>
    <w:p w14:paraId="32725959" w14:textId="77777777" w:rsidR="00E1768D" w:rsidRDefault="00E1768D" w:rsidP="00E1768D">
      <w:pPr>
        <w:spacing w:after="200"/>
        <w:jc w:val="both"/>
      </w:pPr>
      <w:r>
        <w:t>The Ghanaian model has not been free of controversy. Civil society actors and political parties have at various points raised concerns regarding the security architecture of the devices, including whether connectivity features could theoretically permit interference with verification data, prompting the Electoral Commission to issue public clarifications and to work with its Inter-Party Advisory Committee on device specifications ahead of each election cycle.</w:t>
      </w:r>
      <w:r>
        <w:rPr>
          <w:vertAlign w:val="superscript"/>
        </w:rPr>
        <w:footnoteReference w:id="20"/>
      </w:r>
      <w:r>
        <w:t xml:space="preserve"> Notwithstanding these controversies, the layered verification architecture, and in particular the requirement that manual verification be conducted in the presence of party agents rather than by electoral officials alone, has been credited with narrowing the scope for unilateral manipulation at the polling station level.</w:t>
      </w:r>
      <w:r>
        <w:rPr>
          <w:vertAlign w:val="superscript"/>
        </w:rPr>
        <w:footnoteReference w:id="21"/>
      </w:r>
      <w:r>
        <w:t xml:space="preserve"> For Nigeria, whose Bimodal Voter Accreditation System similarly combines fingerprint and facial recognition modalities, the Ghanaian experience underscores the importance of a manual fallback procedure that is transparent, witnessed, and auditable, rather than one left to the unstructured discretion of a single presiding or verification officer.</w:t>
      </w:r>
    </w:p>
    <w:p w14:paraId="7BD5CAF2" w14:textId="77777777" w:rsidR="00E1768D" w:rsidRDefault="00E1768D" w:rsidP="00E1768D">
      <w:pPr>
        <w:spacing w:before="300" w:after="200"/>
        <w:rPr>
          <w:b/>
          <w:bCs/>
        </w:rPr>
      </w:pPr>
    </w:p>
    <w:p w14:paraId="67DA6B18" w14:textId="641E5CAA" w:rsidR="00E1768D" w:rsidRDefault="00E1768D" w:rsidP="00E1768D">
      <w:pPr>
        <w:spacing w:before="300" w:after="200"/>
      </w:pPr>
      <w:r>
        <w:rPr>
          <w:b/>
          <w:bCs/>
        </w:rPr>
        <w:lastRenderedPageBreak/>
        <w:t>Lessons for Nigeria</w:t>
      </w:r>
    </w:p>
    <w:p w14:paraId="414B67A9" w14:textId="77777777" w:rsidR="00E1768D" w:rsidRDefault="00E1768D" w:rsidP="00E1768D">
      <w:pPr>
        <w:spacing w:after="200"/>
      </w:pPr>
      <w:r>
        <w:t xml:space="preserve">Several lessons emerge for Nigeria's implementation of the Bimodal Voter Accreditation System under the 2026 Act. </w:t>
      </w:r>
    </w:p>
    <w:p w14:paraId="04D4A679" w14:textId="77777777" w:rsidR="00E1768D" w:rsidRDefault="00E1768D" w:rsidP="00E1768D">
      <w:pPr>
        <w:numPr>
          <w:ilvl w:val="0"/>
          <w:numId w:val="1"/>
        </w:numPr>
        <w:pBdr>
          <w:top w:val="nil"/>
          <w:left w:val="nil"/>
          <w:bottom w:val="nil"/>
          <w:right w:val="nil"/>
          <w:between w:val="nil"/>
        </w:pBdr>
        <w:jc w:val="both"/>
        <w:rPr>
          <w:color w:val="000000"/>
        </w:rPr>
      </w:pPr>
      <w:r>
        <w:rPr>
          <w:color w:val="000000"/>
        </w:rPr>
        <w:t xml:space="preserve">First, statutory alignment between the physical, signed collation forms issued to party agents and the electronic result-transmission process ensures that isolated technical failures do not, by themselves, jeopardise candidate certification. </w:t>
      </w:r>
    </w:p>
    <w:p w14:paraId="6D032EE5" w14:textId="77777777" w:rsidR="00E1768D" w:rsidRDefault="00E1768D" w:rsidP="00E1768D">
      <w:pPr>
        <w:numPr>
          <w:ilvl w:val="0"/>
          <w:numId w:val="1"/>
        </w:numPr>
        <w:pBdr>
          <w:top w:val="nil"/>
          <w:left w:val="nil"/>
          <w:bottom w:val="nil"/>
          <w:right w:val="nil"/>
          <w:between w:val="nil"/>
        </w:pBdr>
        <w:jc w:val="both"/>
        <w:rPr>
          <w:color w:val="000000"/>
        </w:rPr>
      </w:pPr>
      <w:r>
        <w:rPr>
          <w:color w:val="000000"/>
        </w:rPr>
        <w:t xml:space="preserve">Second, any manual fallback procedure invoked where BVAS fails to accredit a voter should, as in Ghana, be conducted only in the presence of party agents and be documented on a prescribed form, so that the exception itself is not converted into an avenue for abuse. </w:t>
      </w:r>
    </w:p>
    <w:p w14:paraId="2E2AF736" w14:textId="77777777" w:rsidR="00E1768D" w:rsidRDefault="00E1768D" w:rsidP="00E1768D">
      <w:pPr>
        <w:numPr>
          <w:ilvl w:val="0"/>
          <w:numId w:val="1"/>
        </w:numPr>
        <w:pBdr>
          <w:top w:val="nil"/>
          <w:left w:val="nil"/>
          <w:bottom w:val="nil"/>
          <w:right w:val="nil"/>
          <w:between w:val="nil"/>
        </w:pBdr>
        <w:spacing w:after="200"/>
        <w:jc w:val="both"/>
        <w:rPr>
          <w:color w:val="000000"/>
        </w:rPr>
      </w:pPr>
      <w:r>
        <w:rPr>
          <w:color w:val="000000"/>
        </w:rPr>
        <w:t>Third, INEC should adopt a dual-modality accreditation architecture, combining fingerprint and facial recognition as Ghana has done, so that voters whose fingerprints are difficult to capture, including elderly and manual-labour populations, are not functionally disenfranchised by a single-modality system.</w:t>
      </w:r>
    </w:p>
    <w:p w14:paraId="415A9B5F" w14:textId="77777777" w:rsidR="00E1768D" w:rsidRDefault="00E1768D" w:rsidP="00E1768D">
      <w:pPr>
        <w:spacing w:before="300" w:after="200"/>
      </w:pPr>
      <w:r>
        <w:rPr>
          <w:b/>
          <w:bCs/>
        </w:rPr>
        <w:t>b. Republic of India</w:t>
      </w:r>
    </w:p>
    <w:p w14:paraId="4C0773A9" w14:textId="77777777" w:rsidR="00E1768D" w:rsidRDefault="00E1768D" w:rsidP="00E1768D">
      <w:pPr>
        <w:spacing w:after="200"/>
        <w:jc w:val="both"/>
      </w:pPr>
      <w:r>
        <w:t>India employs standalone Electronic Voting Machines integrated with a Voter Verifiable Paper Audit Trail, managed under statutory guidelines from the Election Commission of India. The machines have no internet, Bluetooth, or wireless connectivity, are sealed and verified in the presence of political party representatives at every stage of first-level checking, and store votes in non-rewritable memory.</w:t>
      </w:r>
      <w:r>
        <w:rPr>
          <w:vertAlign w:val="superscript"/>
        </w:rPr>
        <w:footnoteReference w:id="22"/>
      </w:r>
      <w:r>
        <w:t xml:space="preserve"> The legal foundation for this architecture traces to </w:t>
      </w:r>
      <w:r w:rsidRPr="00195325">
        <w:rPr>
          <w:i/>
          <w:iCs/>
        </w:rPr>
        <w:t>Dr Subramanian Swamy v Election Commission of India</w:t>
      </w:r>
      <w:r>
        <w:t>, in which the Supreme Court of India held that a voter-verifiable paper trail is an indispensable requirement of free and fair elections and directed the Election Commission to introduce VVPAT in a phased manner, having regard to the logistical difficulty of deploying the technology across India's more than one million polling stations.</w:t>
      </w:r>
      <w:r>
        <w:rPr>
          <w:vertAlign w:val="superscript"/>
        </w:rPr>
        <w:footnoteReference w:id="23"/>
      </w:r>
      <w:r>
        <w:t xml:space="preserve"> Pursuant to that judgment, the Conduct of Election Rules, 1961 were amended with effect from 14 August 2013 to formally incorporate VVPAT into the statutory </w:t>
      </w:r>
      <w:r>
        <w:lastRenderedPageBreak/>
        <w:t>framework governing elections, and the system was extended nationwide, with a VVPAT unit paired with every Electronic Voting Machine for the first time in the 2019 General Election.</w:t>
      </w:r>
      <w:r>
        <w:rPr>
          <w:vertAlign w:val="superscript"/>
        </w:rPr>
        <w:footnoteReference w:id="24"/>
      </w:r>
    </w:p>
    <w:p w14:paraId="54ED06AA" w14:textId="77777777" w:rsidR="00E1768D" w:rsidRDefault="00E1768D" w:rsidP="00E1768D">
      <w:pPr>
        <w:spacing w:after="200"/>
        <w:jc w:val="both"/>
      </w:pPr>
      <w:r>
        <w:t>The statutory and judicial framework governing verification of VVPAT slips against Electronic Voting Machine counts has continued to evolve well beyond the initial 2013 judgment. Under the protocol that prevailed before 2024, the Election Commission cross-verified VVPAT slips against machine counts at only one randomly selected polling booth per constituency, prompting political parties to petition the Supreme Court for verification of a considerably higher proportion of machines.</w:t>
      </w:r>
      <w:r>
        <w:rPr>
          <w:vertAlign w:val="superscript"/>
        </w:rPr>
        <w:footnoteReference w:id="25"/>
      </w:r>
      <w:r>
        <w:t xml:space="preserve"> In Association for Democratic Reforms v Election Commission of India, decided on 26 April 2024, the Supreme Court declined to order the wholesale, 100 per cent cross-verification of VVPAT slips against Electronic Voting Machine counts sought by the petitioners, holding that mere suspicion of a mismatch, without more, did not justify displacing the existing verification architecture.</w:t>
      </w:r>
      <w:r>
        <w:rPr>
          <w:vertAlign w:val="superscript"/>
        </w:rPr>
        <w:footnoteReference w:id="26"/>
      </w:r>
      <w:r>
        <w:t xml:space="preserve"> The Court nonetheless issued two directions to strengthen the integrity of the process going forward. First, on completion of the symbol-loading process, the symbol-loading units are to be sealed in containers signed by candidates or their agents and retained together with the corresponding Electronic Voting Machines in the strong room for at least forty-five days after the declaration of results.</w:t>
      </w:r>
      <w:r>
        <w:rPr>
          <w:vertAlign w:val="superscript"/>
        </w:rPr>
        <w:footnoteReference w:id="27"/>
      </w:r>
      <w:r>
        <w:t xml:space="preserve"> Second, a candidate placed second or third in the declared result may, on written request and at the candidate's own cost, refundable if tampering is established, have the burnt memory or microcontroller of the control unit, ballot unit, and VVPAT verified by engineers from the machines' manufacturers in five per cent of Electronic Voting Machines per assembly constituency or assembly segment.</w:t>
      </w:r>
    </w:p>
    <w:p w14:paraId="242593A8" w14:textId="77777777" w:rsidR="00E1768D" w:rsidRDefault="00E1768D" w:rsidP="00E1768D">
      <w:pPr>
        <w:spacing w:after="200"/>
        <w:jc w:val="both"/>
      </w:pPr>
      <w:r>
        <w:t xml:space="preserve">Implementation of even this more limited verification regime has remained contested. In subsequent proceedings, the Association for Democratic Reforms alleged that the Standard Operating Procedure adopted by the Election Commission for post-result verification did not conform to the Court's 2024 directions, and the Election Commission was compelled to confirm to the Court that data stored on Electronic Voting Machines would not be deleted or reloaded </w:t>
      </w:r>
      <w:r>
        <w:lastRenderedPageBreak/>
        <w:t>pending a candidate's verification request.</w:t>
      </w:r>
      <w:r>
        <w:rPr>
          <w:vertAlign w:val="superscript"/>
        </w:rPr>
        <w:footnoteReference w:id="28"/>
      </w:r>
      <w:r>
        <w:t xml:space="preserve"> Certification of machine integrity following such verification is reserved exclusively to engineers of the two official manufacturers, Bharat Electronics Limited and Electronics Corporation of India Limited.</w:t>
      </w:r>
      <w:r>
        <w:rPr>
          <w:vertAlign w:val="superscript"/>
        </w:rPr>
        <w:footnoteReference w:id="29"/>
      </w:r>
      <w:r>
        <w:t xml:space="preserve"> The Court also directed the Commission to reduce the fee it had fixed for candidate-requested verification, which had been criticised as prohibitively high.</w:t>
      </w:r>
      <w:r>
        <w:rPr>
          <w:vertAlign w:val="superscript"/>
        </w:rPr>
        <w:footnoteReference w:id="30"/>
      </w:r>
      <w:r>
        <w:t xml:space="preserve"> The continuing litigation illustrates that, notwithstanding more than a decade of statutory and judicial refinement, the precise boundary between an electronically verifiable result and one open to independent, physical audit remains a live and evolving question even within a jurisdiction, India, that is frequently cited as a benchmark for standalone, non-networked voting technology.</w:t>
      </w:r>
    </w:p>
    <w:p w14:paraId="509E5D16" w14:textId="77777777" w:rsidR="00E1768D" w:rsidRDefault="00E1768D" w:rsidP="00E1768D">
      <w:pPr>
        <w:spacing w:before="300" w:after="200"/>
      </w:pPr>
      <w:r>
        <w:rPr>
          <w:b/>
          <w:bCs/>
        </w:rPr>
        <w:t>Lessons for Nigeria</w:t>
      </w:r>
    </w:p>
    <w:p w14:paraId="6665F2A7" w14:textId="77777777" w:rsidR="00E1768D" w:rsidRDefault="00E1768D" w:rsidP="00E1768D">
      <w:pPr>
        <w:spacing w:after="200"/>
        <w:jc w:val="both"/>
      </w:pPr>
      <w:r>
        <w:t xml:space="preserve">India's experience offers at least three lessons for Nigeria. </w:t>
      </w:r>
    </w:p>
    <w:p w14:paraId="701ACC74" w14:textId="77777777" w:rsidR="00E1768D" w:rsidRPr="00195325" w:rsidRDefault="00E1768D" w:rsidP="00E1768D">
      <w:pPr>
        <w:numPr>
          <w:ilvl w:val="0"/>
          <w:numId w:val="2"/>
        </w:numPr>
        <w:pBdr>
          <w:top w:val="nil"/>
          <w:left w:val="nil"/>
          <w:bottom w:val="nil"/>
          <w:right w:val="nil"/>
          <w:between w:val="nil"/>
        </w:pBdr>
        <w:jc w:val="both"/>
      </w:pPr>
      <w:r w:rsidRPr="00195325">
        <w:rPr>
          <w:rFonts w:eastAsia="Aptos"/>
          <w:color w:val="000000"/>
        </w:rPr>
        <w:t xml:space="preserve">First, mandating rigorous pre-election hardware verification and sealing of accreditation devices in the presence of party agents would reduce the scope for disputes over tampering or external interference. </w:t>
      </w:r>
    </w:p>
    <w:p w14:paraId="4F226B89" w14:textId="77777777" w:rsidR="00E1768D" w:rsidRPr="00195325" w:rsidRDefault="00E1768D" w:rsidP="00E1768D">
      <w:pPr>
        <w:numPr>
          <w:ilvl w:val="0"/>
          <w:numId w:val="2"/>
        </w:numPr>
        <w:pBdr>
          <w:top w:val="nil"/>
          <w:left w:val="nil"/>
          <w:bottom w:val="nil"/>
          <w:right w:val="nil"/>
          <w:between w:val="nil"/>
        </w:pBdr>
        <w:jc w:val="both"/>
      </w:pPr>
      <w:r w:rsidRPr="00195325">
        <w:rPr>
          <w:rFonts w:eastAsia="Aptos"/>
          <w:color w:val="000000"/>
        </w:rPr>
        <w:t xml:space="preserve">Second, keeping voter-accreditation devices free of internet, Bluetooth, or wireless connectivity wherever technically feasible would foreclose allegations that results or accreditation data were remotely altered, a safeguard of particular relevance given recurring public concern in Nigeria over the security of BVAS devices. </w:t>
      </w:r>
    </w:p>
    <w:p w14:paraId="76844819" w14:textId="77777777" w:rsidR="00E1768D" w:rsidRPr="00195325" w:rsidRDefault="00E1768D" w:rsidP="00E1768D">
      <w:pPr>
        <w:numPr>
          <w:ilvl w:val="0"/>
          <w:numId w:val="2"/>
        </w:numPr>
        <w:pBdr>
          <w:top w:val="nil"/>
          <w:left w:val="nil"/>
          <w:bottom w:val="nil"/>
          <w:right w:val="nil"/>
          <w:between w:val="nil"/>
        </w:pBdr>
        <w:jc w:val="both"/>
      </w:pPr>
      <w:r w:rsidRPr="00195325">
        <w:rPr>
          <w:rFonts w:eastAsia="Aptos"/>
          <w:color w:val="000000"/>
        </w:rPr>
        <w:t>Third, storing accreditation and result data in non-rewritable memory, verified and cross-checked by political party representatives at each stage of first-level checking, would strengthen the evidentiary weight of electronically captured data before election tribunals.</w:t>
      </w:r>
    </w:p>
    <w:p w14:paraId="4BCEE569" w14:textId="77777777" w:rsidR="00E1768D" w:rsidRPr="00195325" w:rsidRDefault="00E1768D" w:rsidP="00E1768D">
      <w:pPr>
        <w:numPr>
          <w:ilvl w:val="0"/>
          <w:numId w:val="2"/>
        </w:numPr>
        <w:pBdr>
          <w:top w:val="nil"/>
          <w:left w:val="nil"/>
          <w:bottom w:val="nil"/>
          <w:right w:val="nil"/>
          <w:between w:val="nil"/>
        </w:pBdr>
        <w:spacing w:after="200"/>
        <w:jc w:val="both"/>
      </w:pPr>
      <w:r w:rsidRPr="00195325">
        <w:rPr>
          <w:rFonts w:eastAsia="Aptos"/>
          <w:color w:val="000000"/>
        </w:rPr>
        <w:t xml:space="preserve">Fourth, a structured, cost-recoverable mechanism enabling a runner-up candidate to request post-result verification of a statistically defined sample of accreditation devices, as India now permits in respect of five per cent of Electronic Voting Machines per constituency, would give Nigerian candidates a concrete and judicially enforceable </w:t>
      </w:r>
      <w:r w:rsidRPr="00195325">
        <w:rPr>
          <w:rFonts w:eastAsia="Aptos"/>
          <w:color w:val="000000"/>
        </w:rPr>
        <w:lastRenderedPageBreak/>
        <w:t>avenue for testing disputed BVAS data without requiring a wholesale re-run of the accreditation process.</w:t>
      </w:r>
    </w:p>
    <w:p w14:paraId="5B43D06C" w14:textId="77777777" w:rsidR="00E1768D" w:rsidRDefault="00E1768D" w:rsidP="00E1768D">
      <w:pPr>
        <w:spacing w:before="300" w:after="200"/>
      </w:pPr>
      <w:r>
        <w:rPr>
          <w:b/>
          <w:bCs/>
        </w:rPr>
        <w:t>5. RECOMMENDATIONS</w:t>
      </w:r>
    </w:p>
    <w:p w14:paraId="539FB2EC" w14:textId="77777777" w:rsidR="00E1768D" w:rsidRDefault="00E1768D" w:rsidP="00E1768D">
      <w:pPr>
        <w:spacing w:after="200"/>
        <w:jc w:val="both"/>
      </w:pPr>
      <w:r>
        <w:t>Based on the above analysis, the National Assembly should consider the following measures:</w:t>
      </w:r>
    </w:p>
    <w:p w14:paraId="309FF2F5" w14:textId="77777777" w:rsidR="00E1768D" w:rsidRDefault="00E1768D" w:rsidP="00E1768D">
      <w:pPr>
        <w:numPr>
          <w:ilvl w:val="0"/>
          <w:numId w:val="3"/>
        </w:numPr>
        <w:pBdr>
          <w:top w:val="nil"/>
          <w:left w:val="nil"/>
          <w:bottom w:val="nil"/>
          <w:right w:val="nil"/>
          <w:between w:val="nil"/>
        </w:pBdr>
        <w:jc w:val="both"/>
        <w:rPr>
          <w:color w:val="000000"/>
        </w:rPr>
      </w:pPr>
      <w:r>
        <w:rPr>
          <w:color w:val="000000"/>
        </w:rPr>
        <w:t>Amend the regulations made under section 60 to clarify explicitly that, where network deficits prevent immediate transmission, encrypted results stored locally on accreditation devices shall transmit automatically upon signal restoration, while preserving their legal priority over any later manual entry.</w:t>
      </w:r>
    </w:p>
    <w:p w14:paraId="03387813" w14:textId="77777777" w:rsidR="00E1768D" w:rsidRDefault="00E1768D" w:rsidP="00E1768D">
      <w:pPr>
        <w:numPr>
          <w:ilvl w:val="0"/>
          <w:numId w:val="3"/>
        </w:numPr>
        <w:pBdr>
          <w:top w:val="nil"/>
          <w:left w:val="nil"/>
          <w:bottom w:val="nil"/>
          <w:right w:val="nil"/>
          <w:between w:val="nil"/>
        </w:pBdr>
        <w:jc w:val="both"/>
        <w:rPr>
          <w:color w:val="000000"/>
        </w:rPr>
      </w:pPr>
      <w:r>
        <w:rPr>
          <w:color w:val="000000"/>
        </w:rPr>
        <w:t>Pass enabling legislation to establish an independent Electoral Offences Commission to investigate and prosecute electoral crimes, removing this enforcement burden from INEC.</w:t>
      </w:r>
    </w:p>
    <w:p w14:paraId="286326ED" w14:textId="77777777" w:rsidR="00E1768D" w:rsidRDefault="00E1768D" w:rsidP="00E1768D">
      <w:pPr>
        <w:numPr>
          <w:ilvl w:val="0"/>
          <w:numId w:val="3"/>
        </w:numPr>
        <w:pBdr>
          <w:top w:val="nil"/>
          <w:left w:val="nil"/>
          <w:bottom w:val="nil"/>
          <w:right w:val="nil"/>
          <w:between w:val="nil"/>
        </w:pBdr>
        <w:jc w:val="both"/>
        <w:rPr>
          <w:color w:val="000000"/>
        </w:rPr>
      </w:pPr>
      <w:r>
        <w:rPr>
          <w:color w:val="000000"/>
        </w:rPr>
        <w:t>Require INEC to conduct and publish independent cybersecurity and hardware-readiness assessments at least ninety days before any national election cycle.</w:t>
      </w:r>
    </w:p>
    <w:p w14:paraId="7ED92A83" w14:textId="77777777" w:rsidR="00E1768D" w:rsidRDefault="00E1768D" w:rsidP="00E1768D">
      <w:pPr>
        <w:numPr>
          <w:ilvl w:val="0"/>
          <w:numId w:val="3"/>
        </w:numPr>
        <w:pBdr>
          <w:top w:val="nil"/>
          <w:left w:val="nil"/>
          <w:bottom w:val="nil"/>
          <w:right w:val="nil"/>
          <w:between w:val="nil"/>
        </w:pBdr>
        <w:spacing w:after="200"/>
        <w:jc w:val="both"/>
        <w:rPr>
          <w:color w:val="000000"/>
        </w:rPr>
      </w:pPr>
      <w:r>
        <w:rPr>
          <w:color w:val="000000"/>
        </w:rPr>
        <w:t>Amend the Act to provide an expedited pre-election track for candidate-qualification disputes, so that such challenges are resolved before, rather than after, a winner is declared.</w:t>
      </w:r>
    </w:p>
    <w:p w14:paraId="6C40E151" w14:textId="77777777" w:rsidR="00E1768D" w:rsidRDefault="00E1768D" w:rsidP="00E1768D">
      <w:pPr>
        <w:spacing w:before="300" w:after="200"/>
      </w:pPr>
      <w:r>
        <w:rPr>
          <w:b/>
          <w:bCs/>
        </w:rPr>
        <w:t>6. CONCLUSION</w:t>
      </w:r>
    </w:p>
    <w:p w14:paraId="31351FC8" w14:textId="53D79EB3" w:rsidR="00FB1931" w:rsidRDefault="00E1768D" w:rsidP="00E1768D">
      <w:pPr>
        <w:spacing w:after="200"/>
        <w:jc w:val="both"/>
      </w:pPr>
      <w:r>
        <w:t>The Brief has demonstrated that the Electoral Act (Amendment) Act, 2026 provides an updated statutory foundation for the conduct of national and sub-national elections in Nigeria, correcting the legislative gap exposed by the Supreme Court's interpretation of the 2022 Act and giving statutory force to the electronic transmission of results. It has also argued that telecommunications infrastructure deficits, compressed candidate-nomination timelines that sit uneasily alongside the constitutional timelines for the disposal of election petitions, and the continued co-existence of the physical Form EC8A alongside the electronic Result Viewing Portal, create operational vulnerabilities that require further statutory and judicial harmonisation ahead of the 2027 general elections. The Brief has also made adequate recommendations to address these gaps, including clarifying the legal status of encrypted offline queuing of results pending signal restoration, establishing an independent Electoral Offences Commission, mandating independent pre-election cybersecurity and hardware-readiness assessments, and creating an expedited pre-election track for candidate-qualification disputes.</w:t>
      </w:r>
    </w:p>
    <w:sectPr w:rsidR="00FB1931" w:rsidSect="00E1768D">
      <w:footerReference w:type="default" r:id="rId7"/>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1B7B3C" w14:textId="77777777" w:rsidR="004C3DF6" w:rsidRDefault="004C3DF6" w:rsidP="00E1768D">
      <w:pPr>
        <w:spacing w:line="240" w:lineRule="auto"/>
      </w:pPr>
      <w:r>
        <w:separator/>
      </w:r>
    </w:p>
  </w:endnote>
  <w:endnote w:type="continuationSeparator" w:id="0">
    <w:p w14:paraId="49496B64" w14:textId="77777777" w:rsidR="004C3DF6" w:rsidRDefault="004C3DF6" w:rsidP="00E176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B72E67" w14:textId="77777777" w:rsidR="00E1768D" w:rsidRDefault="00E1768D">
    <w:pPr>
      <w:jc w:val="center"/>
    </w:pPr>
    <w:r>
      <w:rPr>
        <w:sz w:val="22"/>
        <w:szCs w:val="22"/>
      </w:rPr>
      <w:fldChar w:fldCharType="begin"/>
    </w:r>
    <w:r>
      <w:rPr>
        <w:sz w:val="22"/>
        <w:szCs w:val="22"/>
      </w:rPr>
      <w:instrText>PAGE</w:instrText>
    </w:r>
    <w:r>
      <w:rPr>
        <w:sz w:val="22"/>
        <w:szCs w:val="22"/>
      </w:rPr>
      <w:fldChar w:fldCharType="separate"/>
    </w:r>
    <w:r>
      <w:rPr>
        <w:noProof/>
        <w:sz w:val="22"/>
        <w:szCs w:val="22"/>
      </w:rPr>
      <w:t>1</w:t>
    </w:r>
    <w:r>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B2BFA1" w14:textId="77777777" w:rsidR="004C3DF6" w:rsidRDefault="004C3DF6" w:rsidP="00E1768D">
      <w:pPr>
        <w:spacing w:line="240" w:lineRule="auto"/>
      </w:pPr>
      <w:r>
        <w:separator/>
      </w:r>
    </w:p>
  </w:footnote>
  <w:footnote w:type="continuationSeparator" w:id="0">
    <w:p w14:paraId="5B9A3EB1" w14:textId="77777777" w:rsidR="004C3DF6" w:rsidRDefault="004C3DF6" w:rsidP="00E1768D">
      <w:pPr>
        <w:spacing w:line="240" w:lineRule="auto"/>
      </w:pPr>
      <w:r>
        <w:continuationSeparator/>
      </w:r>
    </w:p>
  </w:footnote>
  <w:footnote w:id="1">
    <w:p w14:paraId="71559FF1"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Within Nigeria, 'What the Electoral Act 2026 Amendment Means for Electronic Voting Transmission' &lt;https://www.withinnigeria.com/2026/06/06/what-the-electoral-act-2026-amendment-means-for-electronic-voting-transmission/&gt; accessed 22 July 2026.</w:t>
      </w:r>
    </w:p>
  </w:footnote>
  <w:footnote w:id="2">
    <w:p w14:paraId="7CE5CFBE"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 xml:space="preserve"> </w:t>
      </w:r>
      <w:r w:rsidRPr="00195325">
        <w:rPr>
          <w:sz w:val="20"/>
          <w:szCs w:val="20"/>
        </w:rPr>
        <w:t>(2023) LPELR-60392(SC).</w:t>
      </w:r>
    </w:p>
  </w:footnote>
  <w:footnote w:id="3">
    <w:p w14:paraId="175F9B25"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Dawn Commission, 'The Electoral Act 2026' &lt;https://dawncommission.org/wp-content/uploads/2026/04/The-Electoral-Act-2026.pdf&gt; accessed 22 July 2026.</w:t>
      </w:r>
    </w:p>
  </w:footnote>
  <w:footnote w:id="4">
    <w:p w14:paraId="49CF9C4E"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Channels Television, 'Electoral Act 2026: Nigerians Identify Hopes, Gaps At Citizens' Townhall' &lt;https://www.channelstv.com/2026/03/01/electoral-act-2026-nigerians-identify-hopes-gaps-at-citizens-townhall/&gt; accessed 22 July 2026.</w:t>
      </w:r>
    </w:p>
  </w:footnote>
  <w:footnote w:id="5">
    <w:p w14:paraId="3CAC2937"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Ibid.</w:t>
      </w:r>
    </w:p>
  </w:footnote>
  <w:footnote w:id="6">
    <w:p w14:paraId="33B5E465"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PM News, 'National Assembly Highlights Key Reforms in 2026 Electoral Act' &lt;https://pmnewsnigeria.com/2026/02/22/national-assembly-highlights-key-reforms-in-2026-electoral-act/&gt; accessed 22 July 2026.</w:t>
      </w:r>
    </w:p>
  </w:footnote>
  <w:footnote w:id="7">
    <w:p w14:paraId="6407C01F"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Ibid.</w:t>
      </w:r>
    </w:p>
  </w:footnote>
  <w:footnote w:id="8">
    <w:p w14:paraId="18623F67"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Mondaq, 'The Electoral Act 2026: Progress, Gaps, and the Legal Landscape for 2027' &lt;https://www.mondaq.com/nigeria/trials-appeals-compensation/1760910/the-electoral-act-2026-progress-gaps-and-the-legal-landscape-for-2027&gt; accessed 22 July 2026.</w:t>
      </w:r>
    </w:p>
  </w:footnote>
  <w:footnote w:id="9">
    <w:p w14:paraId="0C27199A"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Ibid.</w:t>
      </w:r>
    </w:p>
  </w:footnote>
  <w:footnote w:id="10">
    <w:p w14:paraId="530DF1DA"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Punch, 'Nigeria's Electoral Act 2026: Key Changes Explained' &lt;https://punchng.com/a-birds-eye-view-of-the-electoral-act-2026/&gt; accessed 22 July 2026.</w:t>
      </w:r>
    </w:p>
  </w:footnote>
  <w:footnote w:id="11">
    <w:p w14:paraId="590407EB"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Ibid.</w:t>
      </w:r>
    </w:p>
  </w:footnote>
  <w:footnote w:id="12">
    <w:p w14:paraId="0AB0A667"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(n 3).</w:t>
      </w:r>
    </w:p>
  </w:footnote>
  <w:footnote w:id="13">
    <w:p w14:paraId="35EC83B4"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(n 6).</w:t>
      </w:r>
    </w:p>
  </w:footnote>
  <w:footnote w:id="14">
    <w:p w14:paraId="4D855267"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The Loyal Nigerian Lawyer, 'The Electoral Act 2026: Key Amendments, Institutional Responsibilities, and the Road to Nigeria's 2027 Elections' &lt;https://loyalnigerianlawyer.com/the-electoral-act-2026-key-amendments-institutional-responsibilities-and-the-road-to-nigerias-2027-elections/&gt; accessed 22 July 2026.</w:t>
      </w:r>
    </w:p>
  </w:footnote>
  <w:footnote w:id="15">
    <w:p w14:paraId="0EB7143C"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(n 8).</w:t>
      </w:r>
    </w:p>
  </w:footnote>
  <w:footnote w:id="16">
    <w:p w14:paraId="208FFAF8"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Ibid.</w:t>
      </w:r>
    </w:p>
  </w:footnote>
  <w:footnote w:id="17">
    <w:p w14:paraId="4E9BC646"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Biometric Update, 'Ghana Electoral Commission Proposes Facial Biometrics as Part of Voter Register Changes' &lt;https://www.biometricupdate.com/201912/ghana-electoral-commission-proposes-facial-biometrics-as-part-of-voter-register-changes&gt; accessed 22 July 2026.</w:t>
      </w:r>
    </w:p>
  </w:footnote>
  <w:footnote w:id="18">
    <w:p w14:paraId="49123E86"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Biometric Update, 'Biometrics Use in Ghana Elections Matures' &lt;https://www.biometricupdate.com/202412/biometrics-use-in-ghana-elections-matures&gt; accessed 22 July 2026.</w:t>
      </w:r>
    </w:p>
  </w:footnote>
  <w:footnote w:id="19">
    <w:p w14:paraId="5BF58560"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Graphic Online, 'C.I. 94, Manual Verification, and the Potential for Fraud on Election Day' &lt;https://www.graphic.com.gh/features/opinion/c-i-94-manual-verification-and-the-potential-for-fraud-on-election-day.html&gt; accessed 22 July 2026.</w:t>
      </w:r>
    </w:p>
  </w:footnote>
  <w:footnote w:id="20">
    <w:p w14:paraId="750AA6E3"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Ghana News Online, 'The BVD Device for Elections Has a Telephone Chip and Wi-Fi Connectivity that Can Be Accessed Remotely' &lt;https://ghananewsonline.com.gh/the-bvd-device-for-elections-has-a-telephon/&gt; accessed 22 July 2026.</w:t>
      </w:r>
    </w:p>
  </w:footnote>
  <w:footnote w:id="21">
    <w:p w14:paraId="34B14BB3"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Africanews, 'Ghana's Voting Process – Ballot Papers, Biometric Verification and Secret Ballot' &lt;https://www.africanews.com/2016/12/06/ghanas-voting-process-ballot-papers-biometric-verification-and-secret-ballot/&gt; accessed 22 July 2026.</w:t>
      </w:r>
    </w:p>
  </w:footnote>
  <w:footnote w:id="22">
    <w:p w14:paraId="10B1E7D3"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Election Commission of India, 'Technical Security of EVM' &lt;https://www.eci.gov.in/voter/technical-security-of-evm/&gt; accessed 22 July 2026.</w:t>
      </w:r>
    </w:p>
  </w:footnote>
  <w:footnote w:id="23">
    <w:p w14:paraId="14173C4F"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 xml:space="preserve"> </w:t>
      </w:r>
      <w:r w:rsidRPr="00195325">
        <w:rPr>
          <w:sz w:val="20"/>
          <w:szCs w:val="20"/>
        </w:rPr>
        <w:t>(2013) 10 SCC 500.</w:t>
      </w:r>
    </w:p>
  </w:footnote>
  <w:footnote w:id="24">
    <w:p w14:paraId="5A714E15"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Supreme Court Observer, 'From Swamy to ADR: Nine VVPAT-Related Cases Decided by the Supreme Court' &lt;https://www.scobserver.in/journal/from-swamy-to-adr-nine-cases-about-vvpat-before-the-supreme-court-of-india/&gt; accessed 23 July 2026.</w:t>
      </w:r>
    </w:p>
  </w:footnote>
  <w:footnote w:id="25">
    <w:p w14:paraId="47CD5BFD"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Drishti IAS, 'SC Notice to EC over VVPATs' &lt;https://www.drishtiias.com/daily-news-analysis/sc-notice-to-ec-over-vvpats&gt; accessed 23 July 2026.</w:t>
      </w:r>
    </w:p>
  </w:footnote>
  <w:footnote w:id="26">
    <w:p w14:paraId="2C4EC304"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Association for Democratic Reforms v Election Commission of India, Writ Petition (C) No. 434 of 2023 (Supreme Court of India, 26 April 2024) [76].</w:t>
      </w:r>
    </w:p>
  </w:footnote>
  <w:footnote w:id="27">
    <w:p w14:paraId="649C3C94"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Ibid.</w:t>
      </w:r>
    </w:p>
  </w:footnote>
  <w:footnote w:id="28">
    <w:p w14:paraId="58CCE895"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India Legal, 'Supreme Court Directs Election Commission Not to Delete Data Stored in Burnt Memory of EVMs' &lt;https://indialegallive.com/constitutional-law-news/courts-news/supreme-court-directs-election-commission-not-to-delete-data-stored-in-burnt-memory-of-evms/&gt; accessed 23 July 2026.</w:t>
      </w:r>
    </w:p>
  </w:footnote>
  <w:footnote w:id="29">
    <w:p w14:paraId="48038EC5"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LawChakra, 'Election Commission Tells Supreme Court: EVM Data Will Not Be Deleted If Candidate Wants Verification' &lt;https://lawchakra.in/supreme-court/election-commission-tells-sc-evm-data/&gt; accessed 23 July 2026.</w:t>
      </w:r>
    </w:p>
  </w:footnote>
  <w:footnote w:id="30">
    <w:p w14:paraId="4B88F1F5" w14:textId="77777777" w:rsidR="00E1768D" w:rsidRPr="00195325" w:rsidRDefault="00E1768D" w:rsidP="00E1768D">
      <w:pPr>
        <w:spacing w:line="240" w:lineRule="auto"/>
        <w:jc w:val="both"/>
        <w:rPr>
          <w:sz w:val="20"/>
          <w:szCs w:val="20"/>
        </w:rPr>
      </w:pPr>
      <w:r w:rsidRPr="00195325">
        <w:rPr>
          <w:sz w:val="20"/>
          <w:szCs w:val="20"/>
          <w:vertAlign w:val="superscript"/>
        </w:rPr>
        <w:footnoteRef/>
      </w:r>
      <w:r w:rsidRPr="00195325">
        <w:rPr>
          <w:sz w:val="20"/>
          <w:szCs w:val="20"/>
        </w:rPr>
        <w:t>The Tribune, 'Don't Erase Data, Supreme Court Tells Election Commission on EVM Pleas' &lt;https://www.tribuneindia.com/news/india/dont-erase-data-supreme-court-tells-election-commission-on-evm-pleas&gt; accessed 23 July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DE2E6B"/>
    <w:multiLevelType w:val="multilevel"/>
    <w:tmpl w:val="DA80F4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6553FAA"/>
    <w:multiLevelType w:val="multilevel"/>
    <w:tmpl w:val="20E085FA"/>
    <w:lvl w:ilvl="0">
      <w:start w:val="1"/>
      <w:numFmt w:val="decimal"/>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2F8F389F"/>
    <w:multiLevelType w:val="multilevel"/>
    <w:tmpl w:val="BB0C32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06270062">
    <w:abstractNumId w:val="0"/>
  </w:num>
  <w:num w:numId="2" w16cid:durableId="1608584968">
    <w:abstractNumId w:val="2"/>
  </w:num>
  <w:num w:numId="3" w16cid:durableId="202802457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68D"/>
    <w:rsid w:val="00097A72"/>
    <w:rsid w:val="00153CFD"/>
    <w:rsid w:val="00163B5A"/>
    <w:rsid w:val="00331BAC"/>
    <w:rsid w:val="004603A3"/>
    <w:rsid w:val="004C3DF6"/>
    <w:rsid w:val="008A3FC5"/>
    <w:rsid w:val="0093488D"/>
    <w:rsid w:val="00C341E3"/>
    <w:rsid w:val="00CF54D5"/>
    <w:rsid w:val="00D57B3A"/>
    <w:rsid w:val="00DE5613"/>
    <w:rsid w:val="00E0425C"/>
    <w:rsid w:val="00E1768D"/>
    <w:rsid w:val="00FB1931"/>
    <w:rsid w:val="00FF3980"/>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decimalSymbol w:val="."/>
  <w:listSeparator w:val=","/>
  <w14:docId w14:val="2B2DAF3F"/>
  <w15:chartTrackingRefBased/>
  <w15:docId w15:val="{A96C59FE-BDC0-F041-862A-5B29B6366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68D"/>
    <w:pPr>
      <w:spacing w:after="0" w:line="36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E176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76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76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76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76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768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768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768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768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768D"/>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E1768D"/>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E1768D"/>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E1768D"/>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E1768D"/>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E1768D"/>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E1768D"/>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E1768D"/>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E1768D"/>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E176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768D"/>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E176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768D"/>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E1768D"/>
    <w:pPr>
      <w:spacing w:before="160"/>
      <w:jc w:val="center"/>
    </w:pPr>
    <w:rPr>
      <w:i/>
      <w:iCs/>
      <w:color w:val="404040" w:themeColor="text1" w:themeTint="BF"/>
    </w:rPr>
  </w:style>
  <w:style w:type="character" w:customStyle="1" w:styleId="QuoteChar">
    <w:name w:val="Quote Char"/>
    <w:basedOn w:val="DefaultParagraphFont"/>
    <w:link w:val="Quote"/>
    <w:uiPriority w:val="29"/>
    <w:rsid w:val="00E1768D"/>
    <w:rPr>
      <w:i/>
      <w:iCs/>
      <w:color w:val="404040" w:themeColor="text1" w:themeTint="BF"/>
      <w:lang w:val="en-GB"/>
    </w:rPr>
  </w:style>
  <w:style w:type="paragraph" w:styleId="ListParagraph">
    <w:name w:val="List Paragraph"/>
    <w:basedOn w:val="Normal"/>
    <w:uiPriority w:val="34"/>
    <w:qFormat/>
    <w:rsid w:val="00E1768D"/>
    <w:pPr>
      <w:ind w:left="720"/>
      <w:contextualSpacing/>
    </w:pPr>
  </w:style>
  <w:style w:type="character" w:styleId="IntenseEmphasis">
    <w:name w:val="Intense Emphasis"/>
    <w:basedOn w:val="DefaultParagraphFont"/>
    <w:uiPriority w:val="21"/>
    <w:qFormat/>
    <w:rsid w:val="00E1768D"/>
    <w:rPr>
      <w:i/>
      <w:iCs/>
      <w:color w:val="0F4761" w:themeColor="accent1" w:themeShade="BF"/>
    </w:rPr>
  </w:style>
  <w:style w:type="paragraph" w:styleId="IntenseQuote">
    <w:name w:val="Intense Quote"/>
    <w:basedOn w:val="Normal"/>
    <w:next w:val="Normal"/>
    <w:link w:val="IntenseQuoteChar"/>
    <w:uiPriority w:val="30"/>
    <w:qFormat/>
    <w:rsid w:val="00E176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768D"/>
    <w:rPr>
      <w:i/>
      <w:iCs/>
      <w:color w:val="0F4761" w:themeColor="accent1" w:themeShade="BF"/>
      <w:lang w:val="en-GB"/>
    </w:rPr>
  </w:style>
  <w:style w:type="character" w:styleId="IntenseReference">
    <w:name w:val="Intense Reference"/>
    <w:basedOn w:val="DefaultParagraphFont"/>
    <w:uiPriority w:val="32"/>
    <w:qFormat/>
    <w:rsid w:val="00E176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2809</Words>
  <Characters>16014</Characters>
  <Application>Microsoft Office Word</Application>
  <DocSecurity>0</DocSecurity>
  <Lines>133</Lines>
  <Paragraphs>37</Paragraphs>
  <ScaleCrop>false</ScaleCrop>
  <Company/>
  <LinksUpToDate>false</LinksUpToDate>
  <CharactersWithSpaces>18786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 pro</dc:creator>
  <cp:keywords/>
  <dc:description/>
  <cp:lastModifiedBy>macbook pro</cp:lastModifiedBy>
  <cp:revision>1</cp:revision>
  <dcterms:created xsi:type="dcterms:W3CDTF">2026-08-06T09:06:00Z</dcterms:created>
  <dcterms:modified xsi:type="dcterms:W3CDTF">2026-08-06T09:07:00Z</dcterms:modified>
</cp:coreProperties>
</file>