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AC5557" w14:textId="77777777" w:rsidR="007F65B7" w:rsidRDefault="007F65B7" w:rsidP="007F65B7">
      <w:pPr>
        <w:spacing w:line="480" w:lineRule="auto"/>
        <w:jc w:val="both"/>
        <w:rPr>
          <w:sz w:val="26"/>
          <w:szCs w:val="26"/>
        </w:rPr>
      </w:pPr>
      <w:r>
        <w:rPr>
          <w:b/>
          <w:bCs/>
          <w:color w:val="1F3864"/>
          <w:sz w:val="26"/>
          <w:szCs w:val="26"/>
        </w:rPr>
        <w:t>LEGAL ISSUE BRIEF</w:t>
      </w:r>
    </w:p>
    <w:p w14:paraId="1752D11C" w14:textId="77777777" w:rsidR="007F65B7" w:rsidRDefault="007F65B7" w:rsidP="007F65B7">
      <w:pPr>
        <w:pBdr>
          <w:bottom w:val="single" w:sz="12" w:space="4" w:color="1F3864"/>
        </w:pBdr>
        <w:spacing w:after="120" w:line="480" w:lineRule="auto"/>
        <w:jc w:val="both"/>
        <w:rPr>
          <w:sz w:val="26"/>
          <w:szCs w:val="26"/>
        </w:rPr>
      </w:pPr>
      <w:r>
        <w:rPr>
          <w:b/>
          <w:bCs/>
          <w:i/>
          <w:iCs/>
          <w:color w:val="2E74B5"/>
          <w:sz w:val="26"/>
          <w:szCs w:val="26"/>
        </w:rPr>
        <w:t>Issue 1, July 2026</w:t>
      </w:r>
    </w:p>
    <w:p w14:paraId="5F2CE53A" w14:textId="77777777" w:rsidR="007F65B7" w:rsidRDefault="007F65B7" w:rsidP="007F65B7">
      <w:pPr>
        <w:spacing w:after="150"/>
        <w:jc w:val="center"/>
        <w:rPr>
          <w:b/>
          <w:bCs/>
        </w:rPr>
      </w:pPr>
    </w:p>
    <w:p w14:paraId="5862DBE7" w14:textId="77777777" w:rsidR="007F65B7" w:rsidRDefault="007F65B7" w:rsidP="007F65B7">
      <w:pPr>
        <w:spacing w:after="150"/>
        <w:jc w:val="center"/>
      </w:pPr>
      <w:r>
        <w:rPr>
          <w:b/>
          <w:bCs/>
        </w:rPr>
        <w:t>A REVIEW OF THE LEGAL FRAMEWORK ON TAX REFORM IN NIGERIA</w:t>
      </w:r>
    </w:p>
    <w:p w14:paraId="639B1418" w14:textId="77777777" w:rsidR="007F65B7" w:rsidRDefault="007F65B7" w:rsidP="007F65B7">
      <w:pPr>
        <w:spacing w:after="150"/>
        <w:jc w:val="center"/>
      </w:pPr>
      <w:r>
        <w:rPr>
          <w:b/>
          <w:bCs/>
        </w:rPr>
        <w:t>By</w:t>
      </w:r>
    </w:p>
    <w:p w14:paraId="4F5EBB21" w14:textId="77777777" w:rsidR="007F65B7" w:rsidRDefault="007F65B7" w:rsidP="007F65B7">
      <w:pPr>
        <w:spacing w:after="150"/>
        <w:jc w:val="center"/>
        <w:rPr>
          <w:b/>
          <w:bCs/>
        </w:rPr>
      </w:pPr>
      <w:r>
        <w:rPr>
          <w:b/>
          <w:bCs/>
        </w:rPr>
        <w:t>Ibrahim Bello Ibrahim, LL.B, LL.M, BL, Ph.D</w:t>
      </w:r>
    </w:p>
    <w:p w14:paraId="003DB5BD" w14:textId="77777777" w:rsidR="007F65B7" w:rsidRDefault="007F65B7" w:rsidP="007F65B7">
      <w:pPr>
        <w:spacing w:after="150" w:line="240" w:lineRule="auto"/>
        <w:jc w:val="center"/>
        <w:rPr>
          <w:rFonts w:ascii="Cambria" w:eastAsia="Cambria" w:hAnsi="Cambria" w:cs="Cambria"/>
          <w:sz w:val="22"/>
          <w:szCs w:val="22"/>
        </w:rPr>
      </w:pPr>
      <w:r>
        <w:rPr>
          <w:b/>
          <w:bCs/>
        </w:rPr>
        <w:t>Shamsu Yahaya, LLB, LLM, MLD, BL, Ph.D</w:t>
      </w:r>
    </w:p>
    <w:p w14:paraId="5A71B17B" w14:textId="77777777" w:rsidR="007F65B7" w:rsidRDefault="007F65B7" w:rsidP="007F65B7">
      <w:pPr>
        <w:spacing w:after="150"/>
        <w:jc w:val="center"/>
      </w:pPr>
    </w:p>
    <w:p w14:paraId="56B2A0C3" w14:textId="77777777" w:rsidR="007F65B7" w:rsidRDefault="007F65B7" w:rsidP="007F65B7">
      <w:pPr>
        <w:spacing w:after="150"/>
        <w:jc w:val="center"/>
      </w:pPr>
      <w:r>
        <w:t>Department of Legislative Support Services</w:t>
      </w:r>
    </w:p>
    <w:p w14:paraId="1DCE4257" w14:textId="77777777" w:rsidR="007F65B7" w:rsidRDefault="007F65B7" w:rsidP="007F65B7">
      <w:pPr>
        <w:spacing w:after="150"/>
        <w:jc w:val="center"/>
      </w:pPr>
      <w:r>
        <w:t>National Assembly Institute for Legislative and Democratic Studies, Abuja</w:t>
      </w:r>
    </w:p>
    <w:p w14:paraId="0CD3D3DB" w14:textId="77777777" w:rsidR="007F65B7" w:rsidRDefault="007F65B7" w:rsidP="007F65B7">
      <w:pPr>
        <w:spacing w:before="300" w:after="200"/>
        <w:rPr>
          <w:b/>
          <w:bCs/>
        </w:rPr>
      </w:pPr>
    </w:p>
    <w:p w14:paraId="357340A4" w14:textId="77777777" w:rsidR="007F65B7" w:rsidRDefault="007F65B7" w:rsidP="007F65B7">
      <w:pPr>
        <w:spacing w:before="300" w:after="200"/>
      </w:pPr>
      <w:r>
        <w:rPr>
          <w:b/>
          <w:bCs/>
        </w:rPr>
        <w:t>1. INTRODUCTION</w:t>
      </w:r>
    </w:p>
    <w:p w14:paraId="2183A361" w14:textId="77777777" w:rsidR="007F65B7" w:rsidRDefault="007F65B7" w:rsidP="007F65B7">
      <w:pPr>
        <w:spacing w:after="200"/>
        <w:jc w:val="both"/>
      </w:pPr>
      <w:r>
        <w:t>For decades, Nigeria's domestic revenue mobilisation was hindered by a fragmented tax system, administrative duplication, a low tax-to-GDP ratio, and a heavy compliance burden on micro, small, and medium-sized enterprises.</w:t>
      </w:r>
      <w:r>
        <w:rPr>
          <w:vertAlign w:val="superscript"/>
        </w:rPr>
        <w:footnoteReference w:id="1"/>
      </w:r>
      <w:r>
        <w:t xml:space="preserve"> Nigeria's pre-reform fiscal landscape comprised numerous distinct taxes and levies collected by various federal, state, and local government agencies, creating systemic friction and elevated business operating costs. In response, the Presidential Fiscal Policy and Tax Reforms Committee recommended a complete overhaul of the tax architecture.</w:t>
      </w:r>
      <w:r>
        <w:rPr>
          <w:vertAlign w:val="superscript"/>
        </w:rPr>
        <w:footnoteReference w:id="2"/>
      </w:r>
      <w:r>
        <w:t xml:space="preserve"> On 26 June 2025, President Bola Ahmed Tinubu signed into law four statutes, including the Nigeria Tax Act, 2025, the Nigeria Tax Administration Act, 2025, the Nigeria Revenue Service (Establishment) Act, 2025, and the Joint Revenue Board (Establishment) Act, 2025.</w:t>
      </w:r>
      <w:r>
        <w:rPr>
          <w:vertAlign w:val="superscript"/>
        </w:rPr>
        <w:footnoteReference w:id="3"/>
      </w:r>
      <w:r>
        <w:t xml:space="preserve"> Collectively known as the Tax Reform Acts, these statutes </w:t>
      </w:r>
      <w:r>
        <w:lastRenderedPageBreak/>
        <w:t>commenced operation on 1 January 2026.</w:t>
      </w:r>
      <w:r>
        <w:rPr>
          <w:vertAlign w:val="superscript"/>
        </w:rPr>
        <w:footnoteReference w:id="4"/>
      </w:r>
      <w:r>
        <w:t xml:space="preserve"> The Nigeria Tax Act repeals and consolidates the Companies Income Tax Act, the Personal Income Tax Act, the Value Added Tax Act, the Capital Gains Tax Act, the Petroleum Profits Tax Act, and the Stamp Duties Act into a single, unified statute.</w:t>
      </w:r>
      <w:r>
        <w:rPr>
          <w:vertAlign w:val="superscript"/>
        </w:rPr>
        <w:footnoteReference w:id="5"/>
      </w:r>
      <w:r>
        <w:t xml:space="preserve"> While these Acts simplify tax administration and offer relief to low-income earners and small businesses, their implementation raises inter-governmental revenue distribution questions, transitional administrative friction, and statutory ambiguities. This Brief analyses the legal framework governing tax reform in Nigeria, identifies key compliance and jurisdictional challenges, and provides appropriate recommendations.</w:t>
      </w:r>
    </w:p>
    <w:p w14:paraId="521F84DF" w14:textId="77777777" w:rsidR="007F65B7" w:rsidRDefault="007F65B7" w:rsidP="007F65B7">
      <w:pPr>
        <w:spacing w:before="300" w:after="200"/>
      </w:pPr>
      <w:r>
        <w:rPr>
          <w:b/>
          <w:bCs/>
        </w:rPr>
        <w:t>2. LEGAL FRAMEWORK ON TAXATION IN NIGERIA</w:t>
      </w:r>
    </w:p>
    <w:p w14:paraId="1E39478A" w14:textId="77777777" w:rsidR="007F65B7" w:rsidRDefault="007F65B7" w:rsidP="007F65B7">
      <w:pPr>
        <w:spacing w:before="300" w:after="200"/>
      </w:pPr>
      <w:r>
        <w:rPr>
          <w:b/>
          <w:bCs/>
        </w:rPr>
        <w:t>a. The Nigeria Tax Act, 2025 (Act No. 7)</w:t>
      </w:r>
    </w:p>
    <w:p w14:paraId="167A3B86" w14:textId="77777777" w:rsidR="007F65B7" w:rsidRDefault="007F65B7" w:rsidP="007F65B7">
      <w:pPr>
        <w:spacing w:after="200"/>
        <w:jc w:val="both"/>
      </w:pPr>
      <w:r>
        <w:t>The Nigerian Tax Act (NTA) 2025 restructure personal income tax, as individuals earning ₦800,000 or less annually are exempt from personal income tax, with high earners subject to progressive bands rising to a top marginal rate of 25 per cent, applicable to annual income of ₦50 million and above.</w:t>
      </w:r>
      <w:r>
        <w:rPr>
          <w:vertAlign w:val="superscript"/>
        </w:rPr>
        <w:footnoteReference w:id="6"/>
      </w:r>
      <w:r>
        <w:t xml:space="preserve"> Similarly, Companies Income Tax remains at 30 per cent for most companies, while small companies, currently defined as those with an annual gross turnover not exceeding ₦100 million and total fixed assets not exceeding ₦250 million, are wholly exempt from Companies Income Tax and Capital Gains Tax.</w:t>
      </w:r>
      <w:r>
        <w:rPr>
          <w:vertAlign w:val="superscript"/>
        </w:rPr>
        <w:footnoteReference w:id="7"/>
      </w:r>
      <w:r>
        <w:t xml:space="preserve"> Provisions in earlier drafts of the Bill for a phased reduction of the general rate to 27.5 per cent in 2025 and 25 per cent from 2026 were not retained in the Act.</w:t>
      </w:r>
      <w:r>
        <w:rPr>
          <w:vertAlign w:val="superscript"/>
        </w:rPr>
        <w:footnoteReference w:id="8"/>
      </w:r>
      <w:r>
        <w:t xml:space="preserve"> section 49 of the NTA, unified 4 per cent Development Levy on assessable profits, payable by companies other than small and non-resident companies, replacing the Tertiary Education Tax, the NITDA Levy, the NASENI Levy, and the Nigeria Police Trust Fund Levy.</w:t>
      </w:r>
      <w:r>
        <w:rPr>
          <w:vertAlign w:val="superscript"/>
        </w:rPr>
        <w:footnoteReference w:id="9"/>
      </w:r>
      <w:r>
        <w:t xml:space="preserve"> </w:t>
      </w:r>
    </w:p>
    <w:p w14:paraId="6A4A349B" w14:textId="77777777" w:rsidR="007F65B7" w:rsidRDefault="007F65B7" w:rsidP="007F65B7">
      <w:pPr>
        <w:spacing w:after="200"/>
        <w:jc w:val="both"/>
      </w:pPr>
      <w:r>
        <w:lastRenderedPageBreak/>
        <w:t>There is no doubt that the NTA aligns Nigeria with the OECD/G20 Pillar Two framework, by introducing a 15 per cent minimum effective tax rate top-up tax for constituent entities of multinational enterprise groups and other companies with an aggregate annual turnover of ₦20 billion or more.</w:t>
      </w:r>
      <w:r>
        <w:rPr>
          <w:vertAlign w:val="superscript"/>
        </w:rPr>
        <w:footnoteReference w:id="10"/>
      </w:r>
    </w:p>
    <w:p w14:paraId="3BD10F9A" w14:textId="77777777" w:rsidR="007F65B7" w:rsidRDefault="007F65B7" w:rsidP="007F65B7">
      <w:pPr>
        <w:spacing w:before="300" w:after="200"/>
      </w:pPr>
      <w:r>
        <w:rPr>
          <w:b/>
          <w:bCs/>
        </w:rPr>
        <w:t>b. The Nigeria Tax Administration Act, 2025 (Act No. 5)</w:t>
      </w:r>
    </w:p>
    <w:p w14:paraId="5E5052FF" w14:textId="77777777" w:rsidR="007F65B7" w:rsidRDefault="007F65B7" w:rsidP="007F65B7">
      <w:pPr>
        <w:spacing w:after="200"/>
        <w:jc w:val="both"/>
      </w:pPr>
      <w:r>
        <w:t>The Nigeria Tax Administration Act establishes standardised procedural rules for tax assessment, filing, collection, dispute resolution, and enforcement across the Federation. It mandates electronic invoicing, VAT fiscalisation, and universal taxpayer registration through mandatory Tax Identification Numbers.</w:t>
      </w:r>
      <w:r>
        <w:rPr>
          <w:vertAlign w:val="superscript"/>
        </w:rPr>
        <w:footnoteReference w:id="11"/>
      </w:r>
      <w:r>
        <w:t xml:space="preserve"> The Joint Revenue Board (Establishment) Act, 2025, re-establishes the Tax Appeal Tribunal with jurisdiction over federal and state tax disputes, and creates the Office of the Tax Ombud to mediate administrative grievances between taxpayers and tax authorities.</w:t>
      </w:r>
      <w:r>
        <w:rPr>
          <w:vertAlign w:val="superscript"/>
        </w:rPr>
        <w:footnoteReference w:id="12"/>
      </w:r>
    </w:p>
    <w:p w14:paraId="4A8CE87D" w14:textId="77777777" w:rsidR="007F65B7" w:rsidRDefault="007F65B7" w:rsidP="007F65B7">
      <w:pPr>
        <w:spacing w:before="300" w:after="200"/>
      </w:pPr>
      <w:r>
        <w:rPr>
          <w:b/>
          <w:bCs/>
        </w:rPr>
        <w:t>c. Value Added Tax Revenue Allocation Framework</w:t>
      </w:r>
    </w:p>
    <w:p w14:paraId="1ABFD3D0" w14:textId="77777777" w:rsidR="007F65B7" w:rsidRDefault="007F65B7" w:rsidP="007F65B7">
      <w:pPr>
        <w:spacing w:after="200"/>
        <w:jc w:val="both"/>
      </w:pPr>
      <w:r>
        <w:t>Under section 81 of the Nigeria Tax Administration Act, the federal VAT revenue distribution formula is revised to allocate 10 per cent to the Federal Government, 55 per cent to State Governments and the Federal Capital Territory, and 35 per cent to Local Government Councils, with the states' and local governments' share further distributed on the basis of equality (50 per cent), population (20 per cent), and place of consumption (30 per cent).</w:t>
      </w:r>
      <w:r>
        <w:rPr>
          <w:vertAlign w:val="superscript"/>
        </w:rPr>
        <w:footnoteReference w:id="13"/>
      </w:r>
      <w:r>
        <w:t xml:space="preserve"> This represents a reduction in the Federal Government's share from the previous 15 per cent, and an increase in the states' share from 50 per cent.</w:t>
      </w:r>
      <w:r>
        <w:rPr>
          <w:vertAlign w:val="superscript"/>
        </w:rPr>
        <w:footnoteReference w:id="14"/>
      </w:r>
      <w:r>
        <w:t xml:space="preserve"> Basic food items, medical products, educational materials, and public transport remain zero-rated or exempt from VAT.</w:t>
      </w:r>
      <w:r>
        <w:rPr>
          <w:vertAlign w:val="superscript"/>
        </w:rPr>
        <w:footnoteReference w:id="15"/>
      </w:r>
    </w:p>
    <w:p w14:paraId="4C2D8237" w14:textId="77777777" w:rsidR="007F65B7" w:rsidRDefault="007F65B7" w:rsidP="007F65B7">
      <w:pPr>
        <w:spacing w:before="300" w:after="200"/>
      </w:pPr>
      <w:r>
        <w:rPr>
          <w:b/>
          <w:bCs/>
        </w:rPr>
        <w:t>3. COMMENTS</w:t>
      </w:r>
    </w:p>
    <w:p w14:paraId="08E965E7" w14:textId="77777777" w:rsidR="007F65B7" w:rsidRPr="001C029F" w:rsidRDefault="007F65B7" w:rsidP="007F65B7">
      <w:pPr>
        <w:spacing w:after="200"/>
        <w:jc w:val="both"/>
      </w:pPr>
      <w:r>
        <w:t xml:space="preserve">Despite the revenue distribution adjustments under section 81 of the NTA, constitutional ambiguity persists regarding whether the Federal Government possesses exclusive legislative </w:t>
      </w:r>
      <w:r>
        <w:lastRenderedPageBreak/>
        <w:t xml:space="preserve">competence to impose and collect VAT on the intra-state supply of goods and services. In </w:t>
      </w:r>
      <w:r>
        <w:rPr>
          <w:i/>
          <w:iCs/>
        </w:rPr>
        <w:t>Attorney-General, Rivers State v Federal Inland Revenue Service &amp; Anor</w:t>
      </w:r>
      <w:r>
        <w:t>, the Federal High Court, Port Harcourt Judicial Division, held that there is no constitutional basis for the FIRS to collect VAT within a state, VAT not being enumerated among the taxes assigned to the Federal Government under items 58 and 59 of the Exclusive Legislative List.</w:t>
      </w:r>
      <w:r>
        <w:rPr>
          <w:vertAlign w:val="superscript"/>
        </w:rPr>
        <w:footnoteReference w:id="16"/>
      </w:r>
      <w:r>
        <w:t xml:space="preserve"> That decision remains the subject of an unresolved appeal, with the appellate courts having directed the parties to maintain the </w:t>
      </w:r>
      <w:r>
        <w:rPr>
          <w:i/>
          <w:iCs/>
        </w:rPr>
        <w:t>status quo</w:t>
      </w:r>
      <w:r>
        <w:t xml:space="preserve"> pending determination.</w:t>
      </w:r>
      <w:r>
        <w:rPr>
          <w:vertAlign w:val="superscript"/>
        </w:rPr>
        <w:footnoteReference w:id="17"/>
      </w:r>
      <w:r>
        <w:t xml:space="preserve"> Without a corresponding constitutional alteration bringing VAT within the Exclusive or Concurrent Legislative List, the statutory basis for federal VAT collection under the Nigeria Tax Act remains open to legal challenge. While small businesses, being those with turnover not exceeding ₦100 million, enjoy complete exemption, mid-tier enterprises face administrative complexities in adapting to the 15 per cent minimum effective tax rate calculations and the new technological integration requirements for e-invoicing. The consolidation of specialised levies into a single 4 per cent Development Levy reallocates funding across the Tertiary Education Trust Fund, the Nigerian Education Loan Fund, and technology agencies such as NITDA and NASENI. Continued statutory clarity on the phase-out of direct allocations to these technology agencies is required to prevent operational disruption in technology research and development.</w:t>
      </w:r>
    </w:p>
    <w:p w14:paraId="7CF7144C" w14:textId="77777777" w:rsidR="007F65B7" w:rsidRDefault="007F65B7" w:rsidP="007F65B7">
      <w:pPr>
        <w:spacing w:before="300" w:after="200"/>
      </w:pPr>
      <w:r>
        <w:rPr>
          <w:b/>
          <w:bCs/>
        </w:rPr>
        <w:t>4. CROSS-COUNTRY ANALYSIS</w:t>
      </w:r>
    </w:p>
    <w:p w14:paraId="2DD2AF75" w14:textId="77777777" w:rsidR="007F65B7" w:rsidRDefault="007F65B7" w:rsidP="007F65B7">
      <w:pPr>
        <w:spacing w:before="300" w:after="200"/>
      </w:pPr>
      <w:r>
        <w:rPr>
          <w:b/>
          <w:bCs/>
        </w:rPr>
        <w:t>a. Republic of Kenya</w:t>
      </w:r>
    </w:p>
    <w:p w14:paraId="06A1DB1F" w14:textId="77777777" w:rsidR="007F65B7" w:rsidRDefault="007F65B7" w:rsidP="007F65B7">
      <w:pPr>
        <w:spacing w:after="200"/>
        <w:jc w:val="both"/>
      </w:pPr>
      <w:r>
        <w:t>Kenya has overhauled its tax administration through the Electronic Tax Invoice Management System, or eTIMS, managed by the Kenya Revenue Authority (KRA). The system builds on the Tax Invoice Management System (TIMS) launched on 1 August 2021, which initially required VAT-registered businesses to integrate Electronic Tax Register devices with their billing systems so that every invoice issued could be traced to the point of sale.</w:t>
      </w:r>
      <w:r>
        <w:rPr>
          <w:vertAlign w:val="superscript"/>
        </w:rPr>
        <w:footnoteReference w:id="18"/>
      </w:r>
      <w:r>
        <w:t xml:space="preserve"> The Finance Act, 2023 extended the framework by providing that any business expenditure or loss for which </w:t>
      </w:r>
      <w:r>
        <w:lastRenderedPageBreak/>
        <w:t>an invoice was not generated through eTIMS would not be deductible against revenue for income tax purposes, except for transactions specifically exempted by law.</w:t>
      </w:r>
      <w:r>
        <w:rPr>
          <w:vertAlign w:val="superscript"/>
        </w:rPr>
        <w:footnoteReference w:id="19"/>
      </w:r>
      <w:r>
        <w:t xml:space="preserve"> With effect from 1 September 2023, all persons carrying on business in Kenya, whether registered for VAT or not, are required to electronically generate and transmit tax invoices through the system, extending the obligation well beyond the formal VAT-registered sector to reach micro-enterprises and informal traders.</w:t>
      </w:r>
      <w:r>
        <w:rPr>
          <w:vertAlign w:val="superscript"/>
        </w:rPr>
        <w:footnoteReference w:id="20"/>
      </w:r>
    </w:p>
    <w:p w14:paraId="0A5FEFE9" w14:textId="77777777" w:rsidR="007F65B7" w:rsidRDefault="007F65B7" w:rsidP="007F65B7">
      <w:pPr>
        <w:spacing w:after="200"/>
        <w:jc w:val="both"/>
      </w:pPr>
      <w:r>
        <w:t>Implementation has nonetheless exposed considerable friction between the ambition of the reform and the operational realities of Kenya's informal economy. Although hundreds of thousands of businesses have since onboarded onto the platform, uptake among micro and small enterprises lagged considerably behind that of larger, formally structured companies in the early phase of the rollout.</w:t>
      </w:r>
      <w:r>
        <w:rPr>
          <w:vertAlign w:val="superscript"/>
        </w:rPr>
        <w:footnoteReference w:id="21"/>
      </w:r>
      <w:r>
        <w:t xml:space="preserve"> Traders in informal commercial hubs such as Nairobi's Eastleigh district attributed the low uptake to communication and language barriers, reporting that limited proficiency in the official languages used in KRA's guidance materials slowed their understanding of the invoicing obligation.</w:t>
      </w:r>
      <w:r>
        <w:rPr>
          <w:vertAlign w:val="superscript"/>
        </w:rPr>
        <w:footnoteReference w:id="22"/>
      </w:r>
      <w:r>
        <w:t xml:space="preserve"> In response, KRA introduced simplified onboarding channels, marketed as 'eTIMS Lite', accessible through a USSD short-code and a web-based portal, specifically to accommodate non-VAT-registered taxpayers and traders without dedicated accounting infrastructure.</w:t>
      </w:r>
      <w:r>
        <w:rPr>
          <w:vertAlign w:val="superscript"/>
        </w:rPr>
        <w:footnoteReference w:id="23"/>
      </w:r>
      <w:r>
        <w:t xml:space="preserve"> The consequences of non-compliance are significant: expenditure not backed by a valid eTIMS invoice is disallowed as a deduction, and penalties of up to KES 1,000,000 or ten per cent of the tax involved may be imposed, a sanction regime that has been criticised as disproportionately burdensome for micro-traders operating on thin margins.</w:t>
      </w:r>
      <w:r>
        <w:rPr>
          <w:vertAlign w:val="superscript"/>
        </w:rPr>
        <w:footnoteReference w:id="24"/>
      </w:r>
      <w:r>
        <w:t xml:space="preserve"> </w:t>
      </w:r>
    </w:p>
    <w:p w14:paraId="1D83613D" w14:textId="77777777" w:rsidR="007F65B7" w:rsidRDefault="007F65B7" w:rsidP="007F65B7">
      <w:pPr>
        <w:spacing w:after="200"/>
        <w:jc w:val="both"/>
      </w:pPr>
      <w:r>
        <w:t xml:space="preserve">Kenya's experience illustrates that a legally sound e-invoicing mandate can nonetheless falter in execution where the pace of enforcement outstrips the digital literacy and infrastructural readiness of the taxpayer base it is intended to capture. It further illustrates that phased enforcement, simplified low-bandwidth compliance channels, and targeted taxpayer education </w:t>
      </w:r>
      <w:r>
        <w:lastRenderedPageBreak/>
        <w:t>in local languages are necessary complements to any legislative mandate for electronic invoicing, rather than optional afterthoughts.</w:t>
      </w:r>
    </w:p>
    <w:p w14:paraId="54361F5A" w14:textId="77777777" w:rsidR="007F65B7" w:rsidRDefault="007F65B7" w:rsidP="007F65B7">
      <w:pPr>
        <w:spacing w:before="300" w:after="200"/>
      </w:pPr>
      <w:r>
        <w:rPr>
          <w:b/>
          <w:bCs/>
        </w:rPr>
        <w:t>Lessons for Nigeria</w:t>
      </w:r>
    </w:p>
    <w:p w14:paraId="3B5D9065" w14:textId="77777777" w:rsidR="007F65B7" w:rsidRDefault="007F65B7" w:rsidP="007F65B7">
      <w:pPr>
        <w:spacing w:after="200"/>
        <w:jc w:val="both"/>
      </w:pPr>
      <w:r>
        <w:t xml:space="preserve">Several lessons emerge from the Kenyan experience for Nigeria's phased rollout of e-invoicing under the Nigeria Tax Administration Act. </w:t>
      </w:r>
    </w:p>
    <w:p w14:paraId="0F793E39" w14:textId="77777777" w:rsidR="007F65B7" w:rsidRDefault="007F65B7" w:rsidP="007F65B7">
      <w:pPr>
        <w:numPr>
          <w:ilvl w:val="0"/>
          <w:numId w:val="1"/>
        </w:numPr>
        <w:pBdr>
          <w:top w:val="nil"/>
          <w:left w:val="nil"/>
          <w:bottom w:val="nil"/>
          <w:right w:val="nil"/>
          <w:between w:val="nil"/>
        </w:pBdr>
        <w:spacing w:after="200"/>
        <w:jc w:val="both"/>
      </w:pPr>
      <w:r>
        <w:rPr>
          <w:color w:val="000000"/>
        </w:rPr>
        <w:t xml:space="preserve">First, the rollout should be accompanied by a graduated compliance window rather than an abrupt mandatory cut-off, to avoid the resistance and low early uptake experienced in Kenya's own transition. </w:t>
      </w:r>
    </w:p>
    <w:p w14:paraId="3954C7C8" w14:textId="77777777" w:rsidR="007F65B7" w:rsidRDefault="007F65B7" w:rsidP="007F65B7">
      <w:pPr>
        <w:numPr>
          <w:ilvl w:val="0"/>
          <w:numId w:val="1"/>
        </w:numPr>
        <w:pBdr>
          <w:top w:val="nil"/>
          <w:left w:val="nil"/>
          <w:bottom w:val="nil"/>
          <w:right w:val="nil"/>
          <w:between w:val="nil"/>
        </w:pBdr>
        <w:spacing w:after="200"/>
        <w:jc w:val="both"/>
      </w:pPr>
      <w:r>
        <w:rPr>
          <w:color w:val="000000"/>
        </w:rPr>
        <w:t xml:space="preserve">Second, free, government-provided API gateways and simplified low-bandwidth or USSD-based invoicing channels should be made available to micro and small enterprises that lack dedicated accounting infrastructure, mirroring Kenya's 'eTIMS Lite' response to informal-sector resistance. </w:t>
      </w:r>
    </w:p>
    <w:p w14:paraId="04810A8B" w14:textId="77777777" w:rsidR="007F65B7" w:rsidRDefault="007F65B7" w:rsidP="007F65B7">
      <w:pPr>
        <w:numPr>
          <w:ilvl w:val="0"/>
          <w:numId w:val="1"/>
        </w:numPr>
        <w:pBdr>
          <w:top w:val="nil"/>
          <w:left w:val="nil"/>
          <w:bottom w:val="nil"/>
          <w:right w:val="nil"/>
          <w:between w:val="nil"/>
        </w:pBdr>
        <w:spacing w:after="200"/>
        <w:jc w:val="both"/>
      </w:pPr>
      <w:r>
        <w:rPr>
          <w:color w:val="000000"/>
        </w:rPr>
        <w:t xml:space="preserve">Third, taxpayer education and guidance materials should be issued in major Nigerian languages, and not only in English, so that comprehension gaps do not masquerade as deliberate non-compliance. </w:t>
      </w:r>
    </w:p>
    <w:p w14:paraId="657E2387" w14:textId="77777777" w:rsidR="007F65B7" w:rsidRDefault="007F65B7" w:rsidP="007F65B7">
      <w:pPr>
        <w:numPr>
          <w:ilvl w:val="0"/>
          <w:numId w:val="1"/>
        </w:numPr>
        <w:pBdr>
          <w:top w:val="nil"/>
          <w:left w:val="nil"/>
          <w:bottom w:val="nil"/>
          <w:right w:val="nil"/>
          <w:between w:val="nil"/>
        </w:pBdr>
        <w:spacing w:after="200"/>
        <w:jc w:val="both"/>
      </w:pPr>
      <w:r>
        <w:rPr>
          <w:color w:val="000000"/>
        </w:rPr>
        <w:t>Fourth, any penalty regime for micro-enterprises should be proportionate to turnover, to avoid the disproportionate burden that flat-rate sanctions have been criticised for imposing on Kenyan micro-traders.</w:t>
      </w:r>
    </w:p>
    <w:p w14:paraId="3325D241" w14:textId="77777777" w:rsidR="007F65B7" w:rsidRDefault="007F65B7" w:rsidP="007F65B7">
      <w:pPr>
        <w:spacing w:before="300" w:after="200"/>
      </w:pPr>
      <w:r>
        <w:rPr>
          <w:b/>
          <w:bCs/>
        </w:rPr>
        <w:t>b. Republic of South Africa</w:t>
      </w:r>
    </w:p>
    <w:p w14:paraId="4CFFC3C8" w14:textId="77777777" w:rsidR="007F65B7" w:rsidRDefault="007F65B7" w:rsidP="007F65B7">
      <w:pPr>
        <w:spacing w:after="200"/>
        <w:jc w:val="both"/>
      </w:pPr>
      <w:r>
        <w:t>South Africa operates a consolidated tax administration system under the Tax Administration Act, 2011, which established the Office of the Tax Ombud. The Office is independent of, though funded through, the South African Revenue Service, and its head is appointed by, and reports directly to, the Minister of Finance rather than to the revenue authority itself.</w:t>
      </w:r>
      <w:r>
        <w:rPr>
          <w:vertAlign w:val="superscript"/>
        </w:rPr>
        <w:footnoteReference w:id="25"/>
      </w:r>
      <w:r>
        <w:t xml:space="preserve"> The Office of the Tax Ombud was established in October 2013 to close a gap that had, until then, left taxpayers without any independent channel of redress once they had exhausted the South African Revenue Service's own internal complaint mechanisms; in designing the model, the drafters looked to the comparable tax ombud institutions of Canada, the United States, and the </w:t>
      </w:r>
      <w:r>
        <w:lastRenderedPageBreak/>
        <w:t>United Kingdom.</w:t>
      </w:r>
      <w:r>
        <w:rPr>
          <w:vertAlign w:val="superscript"/>
        </w:rPr>
        <w:footnoteReference w:id="26"/>
      </w:r>
      <w:r>
        <w:t xml:space="preserve"> Before a complaint may be escalated to the Tax Ombud, a taxpayer must ordinarily first raise it with the Revenue Service's Complaints Management Office and allow the Revenue Service a reasonable opportunity, generally a minimum of seven business days, to resolve it internally; the Tax Ombud departs from this exhaustion requirement only where compelling circumstances are shown, including where the complaint raises a systemic issue, where exhausting the internal process would occasion undue hardship, or where that process is unlikely to yield a result within a reasonable time.</w:t>
      </w:r>
      <w:r>
        <w:rPr>
          <w:vertAlign w:val="superscript"/>
        </w:rPr>
        <w:footnoteReference w:id="27"/>
      </w:r>
    </w:p>
    <w:p w14:paraId="0B06A407" w14:textId="77777777" w:rsidR="007F65B7" w:rsidRDefault="007F65B7" w:rsidP="007F65B7">
      <w:pPr>
        <w:spacing w:after="200"/>
        <w:jc w:val="both"/>
      </w:pPr>
      <w:r>
        <w:t>The Tax Ombud's jurisdiction is nonetheless statutorily circumscribed. Section 17 of the Tax Administration Act, 2011 precludes the Tax Ombud from reviewing legislation or tax policy, from reviewing Revenue Service policy or practice of general application except to the extent that it bears on a service, procedural, or administrative matter, from reviewing a matter that is the subject of a pending objection or appeal under a tax Act, and from reviewing a decision of, or proceeding before, the tax court.</w:t>
      </w:r>
      <w:r>
        <w:rPr>
          <w:vertAlign w:val="superscript"/>
        </w:rPr>
        <w:footnoteReference w:id="28"/>
      </w:r>
      <w:r>
        <w:t xml:space="preserve"> Even within that residual mandate, a recommendation issued by the Tax Ombud does not bind either the taxpayer or the Revenue Service; a party that declines to accept it is merely required to furnish reasons to the Tax Ombud within thirty days, reasons the Tax Ombud may in turn draw upon in the annual report tabled before Parliament by the Minister of Finance.</w:t>
      </w:r>
      <w:r>
        <w:rPr>
          <w:vertAlign w:val="superscript"/>
        </w:rPr>
        <w:footnoteReference w:id="29"/>
      </w:r>
      <w:r>
        <w:t xml:space="preserve"> The Office's authority is accordingly persuasive and reputational rather than coercive, resting on the Revenue Service's institutional interest in avoiding adverse comment in a report open to parliamentary and public scrutiny, rather than on any power to compel compliance.</w:t>
      </w:r>
      <w:r>
        <w:rPr>
          <w:vertAlign w:val="superscript"/>
        </w:rPr>
        <w:footnoteReference w:id="30"/>
      </w:r>
    </w:p>
    <w:p w14:paraId="18CF6841" w14:textId="77777777" w:rsidR="007F65B7" w:rsidRDefault="007F65B7" w:rsidP="007F65B7">
      <w:pPr>
        <w:spacing w:after="200"/>
        <w:jc w:val="both"/>
      </w:pPr>
      <w:r>
        <w:t xml:space="preserve">Caseload data illustrate both the value and the limits of this design. In the Office's first, six-month reporting period, more than seventy-five per cent of the complaints it accepted were resolved in the taxpayer's favour, a record its first incumbent, Judge Bernard Ngoepe, cited as evidence that the mechanism was functioning as intended rather than merely absorbing frivolous grievances; the same commentary nonetheless recorded that the Office's funding through the Revenue Service's own budget had prompted questions about the appearance, if </w:t>
      </w:r>
      <w:r>
        <w:lastRenderedPageBreak/>
        <w:t>not the substance, of its independence.</w:t>
      </w:r>
      <w:r>
        <w:rPr>
          <w:vertAlign w:val="superscript"/>
        </w:rPr>
        <w:footnoteReference w:id="31"/>
      </w:r>
      <w:r>
        <w:t xml:space="preserve"> Practitioner analysis of complaints lodged with the Office has separately found that a substantial proportion never reach substantive consideration at all: in one review period, 61.9 per cent of complaints were rejected outright for falling outside the Tax Ombud's limited jurisdiction, and a further 37.7 per cent were rejected because the taxpayer had not first exhausted the Revenue Service's internal resolution process.</w:t>
      </w:r>
      <w:r>
        <w:rPr>
          <w:vertAlign w:val="superscript"/>
        </w:rPr>
        <w:footnoteReference w:id="32"/>
      </w:r>
      <w:r>
        <w:t xml:space="preserve"> This pattern suggests that, notwithstanding the institutional independence created by its separate statutory reporting line to the Minister of Finance, and notwithstanding a renewable five-year term of office from which the incumbent may be removed only by the Minister, the South African Tax Ombud functions chiefly as a narrowly defined, service-and-procedure-focused mechanism of last resort, rather than as a general-purpose check on the revenue authority, a distinction directly relevant to how the National Assembly calibrates the jurisdiction of Nigeria's own Tax Ombud under the Joint Revenue Board (Establishment) Act.</w:t>
      </w:r>
      <w:r>
        <w:rPr>
          <w:vertAlign w:val="superscript"/>
        </w:rPr>
        <w:footnoteReference w:id="33"/>
      </w:r>
    </w:p>
    <w:p w14:paraId="67DF3291" w14:textId="77777777" w:rsidR="007F65B7" w:rsidRDefault="007F65B7" w:rsidP="007F65B7">
      <w:pPr>
        <w:spacing w:before="300" w:after="200"/>
      </w:pPr>
      <w:r>
        <w:rPr>
          <w:b/>
          <w:bCs/>
        </w:rPr>
        <w:t>Lessons for Nigeria</w:t>
      </w:r>
    </w:p>
    <w:p w14:paraId="78A3E447" w14:textId="77777777" w:rsidR="007F65B7" w:rsidRDefault="007F65B7" w:rsidP="007F65B7">
      <w:pPr>
        <w:spacing w:after="200"/>
        <w:jc w:val="both"/>
      </w:pPr>
      <w:r>
        <w:t xml:space="preserve">The South African model offers at least three lessons for Nigeria. </w:t>
      </w:r>
    </w:p>
    <w:p w14:paraId="42795E72" w14:textId="77777777" w:rsidR="007F65B7" w:rsidRDefault="007F65B7" w:rsidP="007F65B7">
      <w:pPr>
        <w:numPr>
          <w:ilvl w:val="0"/>
          <w:numId w:val="2"/>
        </w:numPr>
        <w:pBdr>
          <w:top w:val="nil"/>
          <w:left w:val="nil"/>
          <w:bottom w:val="nil"/>
          <w:right w:val="nil"/>
          <w:between w:val="nil"/>
        </w:pBdr>
        <w:spacing w:after="200"/>
        <w:jc w:val="both"/>
      </w:pPr>
      <w:r>
        <w:rPr>
          <w:color w:val="000000"/>
        </w:rPr>
        <w:t xml:space="preserve">First, to be effective, Nigeria's newly established Tax Ombud under the Joint Revenue Board (Establishment) Act should maintain genuine operational and financial independence from the Nigeria Revenue Service, along the lines of the reporting structure adopted in South Africa. </w:t>
      </w:r>
    </w:p>
    <w:p w14:paraId="45290F69" w14:textId="77777777" w:rsidR="007F65B7" w:rsidRDefault="007F65B7" w:rsidP="007F65B7">
      <w:pPr>
        <w:numPr>
          <w:ilvl w:val="0"/>
          <w:numId w:val="2"/>
        </w:numPr>
        <w:pBdr>
          <w:top w:val="nil"/>
          <w:left w:val="nil"/>
          <w:bottom w:val="nil"/>
          <w:right w:val="nil"/>
          <w:between w:val="nil"/>
        </w:pBdr>
        <w:spacing w:after="200"/>
        <w:jc w:val="both"/>
      </w:pPr>
      <w:r>
        <w:rPr>
          <w:color w:val="000000"/>
        </w:rPr>
        <w:t xml:space="preserve">Second, the Ombud's funding should be secured directly from the Consolidated Revenue Fund rather than from budgetary allocations controlled by the revenue service it is meant to check, to avoid any perception of institutional capture. </w:t>
      </w:r>
    </w:p>
    <w:p w14:paraId="5340FA5F" w14:textId="77777777" w:rsidR="007F65B7" w:rsidRDefault="007F65B7" w:rsidP="007F65B7">
      <w:pPr>
        <w:numPr>
          <w:ilvl w:val="0"/>
          <w:numId w:val="2"/>
        </w:numPr>
        <w:pBdr>
          <w:top w:val="nil"/>
          <w:left w:val="nil"/>
          <w:bottom w:val="nil"/>
          <w:right w:val="nil"/>
          <w:between w:val="nil"/>
        </w:pBdr>
        <w:spacing w:after="200"/>
        <w:jc w:val="both"/>
      </w:pPr>
      <w:r>
        <w:rPr>
          <w:color w:val="000000"/>
        </w:rPr>
        <w:t>Third, the appointment and reporting line of the head of the Ombud's office should run to the Minister of Finance or an equivalent independent authority, rather than to the Nigeria Revenue Service, so that taxpayers perceive the office as a genuinely impartial forum for redress.</w:t>
      </w:r>
    </w:p>
    <w:p w14:paraId="7ED1F66F" w14:textId="77777777" w:rsidR="007F65B7" w:rsidRDefault="007F65B7" w:rsidP="007F65B7">
      <w:pPr>
        <w:numPr>
          <w:ilvl w:val="0"/>
          <w:numId w:val="2"/>
        </w:numPr>
        <w:pBdr>
          <w:top w:val="nil"/>
          <w:left w:val="nil"/>
          <w:bottom w:val="nil"/>
          <w:right w:val="nil"/>
          <w:between w:val="nil"/>
        </w:pBdr>
        <w:spacing w:after="200"/>
        <w:jc w:val="both"/>
      </w:pPr>
      <w:r>
        <w:rPr>
          <w:color w:val="000000"/>
        </w:rPr>
        <w:lastRenderedPageBreak/>
        <w:t>Fourth, the enabling legislation should statutorily define the outer limits of the Tax Ombud's jurisdiction, excluding matters of tax policy, legislation, and pending objections or appeals, and should require the publication of periodic caseload statistics, so that the office's mandate is precise and its performance transparent from the outset, rather than left to be clarified through years of practice as has occurred in South Africa.</w:t>
      </w:r>
    </w:p>
    <w:p w14:paraId="57E7FE0E" w14:textId="77777777" w:rsidR="007F65B7" w:rsidRDefault="007F65B7" w:rsidP="007F65B7">
      <w:pPr>
        <w:spacing w:before="300" w:after="200"/>
      </w:pPr>
      <w:r>
        <w:rPr>
          <w:b/>
          <w:bCs/>
        </w:rPr>
        <w:t>5. RECOMMENDATIONS</w:t>
      </w:r>
    </w:p>
    <w:p w14:paraId="7A0A30FB" w14:textId="77777777" w:rsidR="007F65B7" w:rsidRDefault="007F65B7" w:rsidP="007F65B7">
      <w:pPr>
        <w:spacing w:after="200"/>
        <w:jc w:val="both"/>
      </w:pPr>
      <w:r>
        <w:t>To address gaps noted above, the National Assembly should consider the following measures:</w:t>
      </w:r>
    </w:p>
    <w:p w14:paraId="7405FB7A" w14:textId="77777777" w:rsidR="007F65B7" w:rsidRDefault="007F65B7" w:rsidP="007F65B7">
      <w:pPr>
        <w:numPr>
          <w:ilvl w:val="0"/>
          <w:numId w:val="3"/>
        </w:numPr>
        <w:pBdr>
          <w:top w:val="nil"/>
          <w:left w:val="nil"/>
          <w:bottom w:val="nil"/>
          <w:right w:val="nil"/>
          <w:between w:val="nil"/>
        </w:pBdr>
        <w:spacing w:after="200"/>
        <w:jc w:val="both"/>
      </w:pPr>
      <w:r>
        <w:rPr>
          <w:color w:val="000000"/>
        </w:rPr>
        <w:t>Introduce a Constitution Alteration Bill to explicitly place Value Added Tax on the Concurrent Legislative List, resolving the jurisdictional dispute between federal and state tax authorities pending before the appellate courts.</w:t>
      </w:r>
    </w:p>
    <w:p w14:paraId="248D5F8C" w14:textId="77777777" w:rsidR="007F65B7" w:rsidRDefault="007F65B7" w:rsidP="007F65B7">
      <w:pPr>
        <w:numPr>
          <w:ilvl w:val="0"/>
          <w:numId w:val="3"/>
        </w:numPr>
        <w:pBdr>
          <w:top w:val="nil"/>
          <w:left w:val="nil"/>
          <w:bottom w:val="nil"/>
          <w:right w:val="nil"/>
          <w:between w:val="nil"/>
        </w:pBdr>
        <w:spacing w:after="200"/>
        <w:jc w:val="both"/>
      </w:pPr>
      <w:r>
        <w:rPr>
          <w:color w:val="000000"/>
        </w:rPr>
        <w:t>Amend the Joint Revenue Board (Establishment) Act to secure funding for the Office of the Tax Ombud, ensuring impartial mediation between taxpayers and the Nigeria Revenue Service.</w:t>
      </w:r>
    </w:p>
    <w:p w14:paraId="5E974ACF" w14:textId="77777777" w:rsidR="007F65B7" w:rsidRDefault="007F65B7" w:rsidP="007F65B7">
      <w:pPr>
        <w:numPr>
          <w:ilvl w:val="0"/>
          <w:numId w:val="3"/>
        </w:numPr>
        <w:pBdr>
          <w:top w:val="nil"/>
          <w:left w:val="nil"/>
          <w:bottom w:val="nil"/>
          <w:right w:val="nil"/>
          <w:between w:val="nil"/>
        </w:pBdr>
        <w:spacing w:after="200"/>
        <w:jc w:val="both"/>
      </w:pPr>
      <w:r>
        <w:rPr>
          <w:color w:val="000000"/>
        </w:rPr>
        <w:t>Direct the Federal Ministry of Finance and the Nigeria Revenue Service to implement a soft-launch transition period for mandatory e-invoicing and digital fiscalisation, allowing mid-tier businesses time to upgrade IT infrastructure without incurring immediate penalties.</w:t>
      </w:r>
    </w:p>
    <w:p w14:paraId="6D1DD5F1" w14:textId="77777777" w:rsidR="007F65B7" w:rsidRDefault="007F65B7" w:rsidP="007F65B7">
      <w:pPr>
        <w:numPr>
          <w:ilvl w:val="0"/>
          <w:numId w:val="3"/>
        </w:numPr>
        <w:pBdr>
          <w:top w:val="nil"/>
          <w:left w:val="nil"/>
          <w:bottom w:val="nil"/>
          <w:right w:val="nil"/>
          <w:between w:val="nil"/>
        </w:pBdr>
        <w:spacing w:after="200"/>
        <w:jc w:val="both"/>
      </w:pPr>
      <w:r>
        <w:rPr>
          <w:color w:val="000000"/>
        </w:rPr>
        <w:t>Amend the relevant provisions of the Nigeria Tax Act to establish dedicated, alternative statutory funding windows for science and technology research agencies ahead of any scheduled reallocation of Development Levy proceeds.</w:t>
      </w:r>
    </w:p>
    <w:p w14:paraId="2CA56A39" w14:textId="77777777" w:rsidR="007F65B7" w:rsidRDefault="007F65B7" w:rsidP="007F65B7">
      <w:pPr>
        <w:spacing w:before="300" w:after="200"/>
      </w:pPr>
      <w:r>
        <w:rPr>
          <w:b/>
          <w:bCs/>
        </w:rPr>
        <w:t>6. CONCLUSION</w:t>
      </w:r>
    </w:p>
    <w:p w14:paraId="60E8E74B" w14:textId="77666806" w:rsidR="007F65B7" w:rsidRDefault="007F65B7" w:rsidP="007F65B7">
      <w:pPr>
        <w:spacing w:after="200"/>
        <w:jc w:val="both"/>
        <w:sectPr w:rsidR="007F65B7" w:rsidSect="007F65B7">
          <w:footerReference w:type="default" r:id="rId7"/>
          <w:pgSz w:w="11906" w:h="16838"/>
          <w:pgMar w:top="1440" w:right="1440" w:bottom="1440" w:left="1440" w:header="708" w:footer="708" w:gutter="0"/>
          <w:cols w:space="720"/>
        </w:sectPr>
      </w:pPr>
      <w:r>
        <w:t xml:space="preserve">The Brief has demonstrated that the tax reform Acts represent a significant step toward modernising Nigeria's fiscal structure, broadening the tax base, and relieving low-income households and small businesses of an unduly heavy compliance burden. It has also argued that the long-term stability and legitimacy of the reforms depend on resolving the underlying constitutional question over legislative competence for Value Added Tax, and on easing the administrative transition confronting mid-tier enterprises as they adapt to the minimum effective tax rate and mandatory e-invoicing requirements introduced by the Nigeria Tax Administration Act. The Brief has also made adequate recommendations to guide the National </w:t>
      </w:r>
      <w:r>
        <w:lastRenderedPageBreak/>
        <w:t>Assembly in addressing these gaps, including a Constitution Alteration Bill to settle the VAT jurisdiction dispute, secure and independent funding for the Office of the Tax Ombud, a soft-launch transition period for e-invoicing and digital fiscalisation, and dedicated statutory funding windows for science and technology agencies affected by the consolidation of specialised levies into the Development Levy</w:t>
      </w:r>
      <w:r>
        <w:t>.</w:t>
      </w:r>
    </w:p>
    <w:p w14:paraId="79036F06" w14:textId="77777777" w:rsidR="00FB1931" w:rsidRDefault="00FB1931"/>
    <w:sectPr w:rsidR="00FB1931" w:rsidSect="007F65B7">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C42E1D" w14:textId="77777777" w:rsidR="00965540" w:rsidRDefault="00965540" w:rsidP="007F65B7">
      <w:pPr>
        <w:spacing w:line="240" w:lineRule="auto"/>
      </w:pPr>
      <w:r>
        <w:separator/>
      </w:r>
    </w:p>
  </w:endnote>
  <w:endnote w:type="continuationSeparator" w:id="0">
    <w:p w14:paraId="35C19CAD" w14:textId="77777777" w:rsidR="00965540" w:rsidRDefault="00965540" w:rsidP="007F6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3FC0E8" w14:textId="77777777" w:rsidR="007F65B7" w:rsidRDefault="007F65B7">
    <w:pPr>
      <w:jc w:val="center"/>
    </w:pPr>
    <w:r>
      <w:rPr>
        <w:sz w:val="22"/>
        <w:szCs w:val="22"/>
      </w:rPr>
      <w:fldChar w:fldCharType="begin"/>
    </w:r>
    <w:r>
      <w:rPr>
        <w:sz w:val="22"/>
        <w:szCs w:val="22"/>
      </w:rPr>
      <w:instrText>PAGE</w:instrText>
    </w:r>
    <w:r>
      <w:rPr>
        <w:sz w:val="22"/>
        <w:szCs w:val="22"/>
      </w:rPr>
      <w:fldChar w:fldCharType="separate"/>
    </w:r>
    <w:r>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B33993" w14:textId="77777777" w:rsidR="007F65B7" w:rsidRDefault="007F65B7">
    <w:pPr>
      <w:jc w:val="center"/>
    </w:pPr>
    <w:r>
      <w:rPr>
        <w:sz w:val="22"/>
        <w:szCs w:val="22"/>
      </w:rPr>
      <w:fldChar w:fldCharType="begin"/>
    </w:r>
    <w:r>
      <w:rPr>
        <w:sz w:val="22"/>
        <w:szCs w:val="22"/>
      </w:rPr>
      <w:instrText>PAGE</w:instrText>
    </w:r>
    <w:r>
      <w:rPr>
        <w:sz w:val="22"/>
        <w:szCs w:val="22"/>
      </w:rPr>
      <w:fldChar w:fldCharType="separate"/>
    </w:r>
    <w:r>
      <w:rPr>
        <w:noProof/>
        <w:sz w:val="22"/>
        <w:szCs w:val="22"/>
      </w:rPr>
      <w:t>1</w:t>
    </w:r>
    <w:r>
      <w:rPr>
        <w:noProof/>
        <w:sz w:val="22"/>
        <w:szCs w:val="22"/>
      </w:rPr>
      <w:t>2</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B57E77" w14:textId="77777777" w:rsidR="00965540" w:rsidRDefault="00965540" w:rsidP="007F65B7">
      <w:pPr>
        <w:spacing w:line="240" w:lineRule="auto"/>
      </w:pPr>
      <w:r>
        <w:separator/>
      </w:r>
    </w:p>
  </w:footnote>
  <w:footnote w:type="continuationSeparator" w:id="0">
    <w:p w14:paraId="40FC8AF5" w14:textId="77777777" w:rsidR="00965540" w:rsidRDefault="00965540" w:rsidP="007F65B7">
      <w:pPr>
        <w:spacing w:line="240" w:lineRule="auto"/>
      </w:pPr>
      <w:r>
        <w:continuationSeparator/>
      </w:r>
    </w:p>
  </w:footnote>
  <w:footnote w:id="1">
    <w:p w14:paraId="6C1B0FB3" w14:textId="77777777" w:rsidR="007F65B7" w:rsidRDefault="007F65B7" w:rsidP="007F65B7">
      <w:pPr>
        <w:spacing w:line="240" w:lineRule="auto"/>
        <w:jc w:val="both"/>
        <w:rPr>
          <w:sz w:val="20"/>
          <w:szCs w:val="20"/>
        </w:rPr>
      </w:pPr>
      <w:r>
        <w:rPr>
          <w:vertAlign w:val="superscript"/>
        </w:rPr>
        <w:footnoteRef/>
      </w:r>
      <w:r>
        <w:rPr>
          <w:sz w:val="20"/>
          <w:szCs w:val="20"/>
        </w:rPr>
        <w:t>PwC, 'The Nigerian Tax Reform Acts' &lt;https://www.pwc.com/ng/en/publications/the-nigerian-tax-reform-acts.html&gt; accessed 22 July 2026, observing that the pre-reform multiplicity of levies imposed a disproportionate compliance burden on micro, small, and medium-sized enterprises relative to larger companies.</w:t>
      </w:r>
    </w:p>
  </w:footnote>
  <w:footnote w:id="2">
    <w:p w14:paraId="65363E5C" w14:textId="77777777" w:rsidR="007F65B7" w:rsidRDefault="007F65B7" w:rsidP="007F65B7">
      <w:pPr>
        <w:spacing w:line="240" w:lineRule="auto"/>
        <w:jc w:val="both"/>
        <w:rPr>
          <w:sz w:val="20"/>
          <w:szCs w:val="20"/>
        </w:rPr>
      </w:pPr>
      <w:r>
        <w:rPr>
          <w:vertAlign w:val="superscript"/>
        </w:rPr>
        <w:footnoteRef/>
      </w:r>
      <w:r>
        <w:rPr>
          <w:sz w:val="20"/>
          <w:szCs w:val="20"/>
        </w:rPr>
        <w:t>Integra International, 'Impact of Nigeria's Tax Reform Acts 2025 on Foreign Investors' &lt;https://integra-international.net/navigating-the-impact-of-nigerias-tax-reform-acts-2025-on-foreign-investors/&gt; accessed 22 July 2026.</w:t>
      </w:r>
    </w:p>
  </w:footnote>
  <w:footnote w:id="3">
    <w:p w14:paraId="6D0344AF" w14:textId="77777777" w:rsidR="007F65B7" w:rsidRDefault="007F65B7" w:rsidP="007F65B7">
      <w:pPr>
        <w:spacing w:line="240" w:lineRule="auto"/>
        <w:jc w:val="both"/>
        <w:rPr>
          <w:sz w:val="20"/>
          <w:szCs w:val="20"/>
        </w:rPr>
      </w:pPr>
      <w:r>
        <w:rPr>
          <w:vertAlign w:val="superscript"/>
        </w:rPr>
        <w:footnoteRef/>
      </w:r>
      <w:r>
        <w:rPr>
          <w:sz w:val="20"/>
          <w:szCs w:val="20"/>
        </w:rPr>
        <w:t>EY, 'Nigeria Tax Act, 2025 Has Been Signed – Highlights' &lt;https://www.ey.com/en_gl/technical/tax-alerts/nigeria-tax-act-2025-has-been-signed-highlights&gt; accessed 22 July 2026.</w:t>
      </w:r>
    </w:p>
  </w:footnote>
  <w:footnote w:id="4">
    <w:p w14:paraId="316ED1AE" w14:textId="77777777" w:rsidR="007F65B7" w:rsidRDefault="007F65B7" w:rsidP="007F65B7">
      <w:pPr>
        <w:spacing w:line="240" w:lineRule="auto"/>
        <w:jc w:val="both"/>
        <w:rPr>
          <w:sz w:val="20"/>
          <w:szCs w:val="20"/>
        </w:rPr>
      </w:pPr>
      <w:r>
        <w:rPr>
          <w:vertAlign w:val="superscript"/>
        </w:rPr>
        <w:footnoteRef/>
      </w:r>
      <w:r>
        <w:rPr>
          <w:sz w:val="20"/>
          <w:szCs w:val="20"/>
        </w:rPr>
        <w:t>Andersen, 'President Tinubu Signs 2025 Tax Reform Acts into Law: New Regime to Take Effect from January 2026' &lt;https://ng.andersen.com/president-tinubu-signs-2025-tax-reform-acts-into-law-new-regime-to-take-effect-from-january-2026/&gt; accessed 22 July 2026.</w:t>
      </w:r>
    </w:p>
  </w:footnote>
  <w:footnote w:id="5">
    <w:p w14:paraId="036ECD77" w14:textId="77777777" w:rsidR="007F65B7" w:rsidRDefault="007F65B7" w:rsidP="007F65B7">
      <w:pPr>
        <w:spacing w:line="240" w:lineRule="auto"/>
        <w:jc w:val="both"/>
        <w:rPr>
          <w:sz w:val="20"/>
          <w:szCs w:val="20"/>
        </w:rPr>
      </w:pPr>
      <w:r>
        <w:rPr>
          <w:vertAlign w:val="superscript"/>
        </w:rPr>
        <w:footnoteRef/>
      </w:r>
      <w:r>
        <w:rPr>
          <w:sz w:val="20"/>
          <w:szCs w:val="20"/>
        </w:rPr>
        <w:t>(n 3).</w:t>
      </w:r>
    </w:p>
  </w:footnote>
  <w:footnote w:id="6">
    <w:p w14:paraId="4CCD0C1F" w14:textId="77777777" w:rsidR="007F65B7" w:rsidRDefault="007F65B7" w:rsidP="007F65B7">
      <w:pPr>
        <w:spacing w:line="240" w:lineRule="auto"/>
        <w:jc w:val="both"/>
        <w:rPr>
          <w:sz w:val="20"/>
          <w:szCs w:val="20"/>
        </w:rPr>
      </w:pPr>
      <w:r>
        <w:rPr>
          <w:vertAlign w:val="superscript"/>
        </w:rPr>
        <w:footnoteRef/>
      </w:r>
      <w:r>
        <w:rPr>
          <w:sz w:val="20"/>
          <w:szCs w:val="20"/>
        </w:rPr>
        <w:t>Mondaq, 'The Nigeria Tax Reform Act 2025 and How It Affects Businesses' &lt;https://www.mondaq.com/nigeria/tax-authorities/1705160/the-nigeria-tax-reform-act-2025-and-how-it-affects-businesses&gt; accessed 22 July 2026.</w:t>
      </w:r>
    </w:p>
  </w:footnote>
  <w:footnote w:id="7">
    <w:p w14:paraId="7156DC72" w14:textId="77777777" w:rsidR="007F65B7" w:rsidRDefault="007F65B7" w:rsidP="007F65B7">
      <w:pPr>
        <w:spacing w:line="240" w:lineRule="auto"/>
        <w:jc w:val="both"/>
        <w:rPr>
          <w:sz w:val="20"/>
          <w:szCs w:val="20"/>
        </w:rPr>
      </w:pPr>
      <w:r>
        <w:rPr>
          <w:vertAlign w:val="superscript"/>
        </w:rPr>
        <w:footnoteRef/>
      </w:r>
      <w:r>
        <w:rPr>
          <w:sz w:val="20"/>
          <w:szCs w:val="20"/>
        </w:rPr>
        <w:t>(n 1).</w:t>
      </w:r>
    </w:p>
  </w:footnote>
  <w:footnote w:id="8">
    <w:p w14:paraId="2C5403CA" w14:textId="77777777" w:rsidR="007F65B7" w:rsidRDefault="007F65B7" w:rsidP="007F65B7">
      <w:pPr>
        <w:spacing w:line="240" w:lineRule="auto"/>
        <w:jc w:val="both"/>
        <w:rPr>
          <w:sz w:val="20"/>
          <w:szCs w:val="20"/>
        </w:rPr>
      </w:pPr>
      <w:r>
        <w:rPr>
          <w:vertAlign w:val="superscript"/>
        </w:rPr>
        <w:footnoteRef/>
      </w:r>
      <w:r>
        <w:rPr>
          <w:sz w:val="20"/>
          <w:szCs w:val="20"/>
        </w:rPr>
        <w:t>SeamlessHR, 'Nigeria's 2025 Tax Reform Acts: Key Tax Changes' &lt;https://seamlesshr.com/blog/nigerias-2025-tax-reform-acts-key-tax-changes/&gt; accessed 22 July 2026.</w:t>
      </w:r>
    </w:p>
  </w:footnote>
  <w:footnote w:id="9">
    <w:p w14:paraId="2E223852" w14:textId="77777777" w:rsidR="007F65B7" w:rsidRDefault="007F65B7" w:rsidP="007F65B7">
      <w:pPr>
        <w:spacing w:line="240" w:lineRule="auto"/>
        <w:jc w:val="both"/>
        <w:rPr>
          <w:sz w:val="20"/>
          <w:szCs w:val="20"/>
        </w:rPr>
      </w:pPr>
      <w:r>
        <w:rPr>
          <w:vertAlign w:val="superscript"/>
        </w:rPr>
        <w:footnoteRef/>
      </w:r>
      <w:r>
        <w:rPr>
          <w:sz w:val="20"/>
          <w:szCs w:val="20"/>
        </w:rPr>
        <w:t>(n 3).</w:t>
      </w:r>
    </w:p>
  </w:footnote>
  <w:footnote w:id="10">
    <w:p w14:paraId="71D776C1" w14:textId="77777777" w:rsidR="007F65B7" w:rsidRDefault="007F65B7" w:rsidP="007F65B7">
      <w:pPr>
        <w:spacing w:line="240" w:lineRule="auto"/>
        <w:jc w:val="both"/>
        <w:rPr>
          <w:sz w:val="20"/>
          <w:szCs w:val="20"/>
        </w:rPr>
      </w:pPr>
      <w:r>
        <w:rPr>
          <w:vertAlign w:val="superscript"/>
        </w:rPr>
        <w:footnoteRef/>
      </w:r>
      <w:r>
        <w:rPr>
          <w:sz w:val="20"/>
          <w:szCs w:val="20"/>
        </w:rPr>
        <w:t>ibid.</w:t>
      </w:r>
    </w:p>
  </w:footnote>
  <w:footnote w:id="11">
    <w:p w14:paraId="71F3C990" w14:textId="77777777" w:rsidR="007F65B7" w:rsidRDefault="007F65B7" w:rsidP="007F65B7">
      <w:pPr>
        <w:spacing w:line="240" w:lineRule="auto"/>
        <w:jc w:val="both"/>
        <w:rPr>
          <w:sz w:val="20"/>
          <w:szCs w:val="20"/>
        </w:rPr>
      </w:pPr>
      <w:r>
        <w:rPr>
          <w:vertAlign w:val="superscript"/>
        </w:rPr>
        <w:footnoteRef/>
      </w:r>
      <w:r>
        <w:rPr>
          <w:sz w:val="20"/>
          <w:szCs w:val="20"/>
        </w:rPr>
        <w:t>Afriwise, 'Tax Administration in Nigeria – A Review of the 2025 Nigerian Tax Reform Laws' &lt;https://www.afriwise.com/blog/tax-administration-in-nigeria---a-review-of-the-2025-nigerian-tax-reform-laws&gt; accessed 22 July 2026.</w:t>
      </w:r>
    </w:p>
  </w:footnote>
  <w:footnote w:id="12">
    <w:p w14:paraId="30889878" w14:textId="77777777" w:rsidR="007F65B7" w:rsidRDefault="007F65B7" w:rsidP="007F65B7">
      <w:pPr>
        <w:spacing w:line="240" w:lineRule="auto"/>
        <w:jc w:val="both"/>
        <w:rPr>
          <w:sz w:val="20"/>
          <w:szCs w:val="20"/>
        </w:rPr>
      </w:pPr>
      <w:r>
        <w:rPr>
          <w:vertAlign w:val="superscript"/>
        </w:rPr>
        <w:footnoteRef/>
      </w:r>
      <w:r>
        <w:rPr>
          <w:sz w:val="20"/>
          <w:szCs w:val="20"/>
        </w:rPr>
        <w:t>(n 2).</w:t>
      </w:r>
    </w:p>
  </w:footnote>
  <w:footnote w:id="13">
    <w:p w14:paraId="034DF084" w14:textId="77777777" w:rsidR="007F65B7" w:rsidRDefault="007F65B7" w:rsidP="007F65B7">
      <w:pPr>
        <w:spacing w:line="240" w:lineRule="auto"/>
        <w:jc w:val="both"/>
        <w:rPr>
          <w:sz w:val="20"/>
          <w:szCs w:val="20"/>
        </w:rPr>
      </w:pPr>
      <w:r>
        <w:rPr>
          <w:vertAlign w:val="superscript"/>
        </w:rPr>
        <w:footnoteRef/>
      </w:r>
      <w:r>
        <w:rPr>
          <w:sz w:val="20"/>
          <w:szCs w:val="20"/>
        </w:rPr>
        <w:t>(n 11).</w:t>
      </w:r>
    </w:p>
  </w:footnote>
  <w:footnote w:id="14">
    <w:p w14:paraId="60109EEA" w14:textId="77777777" w:rsidR="007F65B7" w:rsidRDefault="007F65B7" w:rsidP="007F65B7">
      <w:pPr>
        <w:spacing w:line="240" w:lineRule="auto"/>
        <w:jc w:val="both"/>
        <w:rPr>
          <w:sz w:val="20"/>
          <w:szCs w:val="20"/>
        </w:rPr>
      </w:pPr>
      <w:r>
        <w:rPr>
          <w:vertAlign w:val="superscript"/>
        </w:rPr>
        <w:footnoteRef/>
      </w:r>
      <w:r>
        <w:rPr>
          <w:sz w:val="20"/>
          <w:szCs w:val="20"/>
        </w:rPr>
        <w:t>Ibid.</w:t>
      </w:r>
    </w:p>
  </w:footnote>
  <w:footnote w:id="15">
    <w:p w14:paraId="78AD623B" w14:textId="77777777" w:rsidR="007F65B7" w:rsidRDefault="007F65B7" w:rsidP="007F65B7">
      <w:pPr>
        <w:spacing w:line="240" w:lineRule="auto"/>
        <w:jc w:val="both"/>
        <w:rPr>
          <w:sz w:val="20"/>
          <w:szCs w:val="20"/>
        </w:rPr>
      </w:pPr>
      <w:r>
        <w:rPr>
          <w:vertAlign w:val="superscript"/>
        </w:rPr>
        <w:footnoteRef/>
      </w:r>
      <w:r>
        <w:rPr>
          <w:sz w:val="20"/>
          <w:szCs w:val="20"/>
        </w:rPr>
        <w:t>(n 6).</w:t>
      </w:r>
    </w:p>
  </w:footnote>
  <w:footnote w:id="16">
    <w:p w14:paraId="2E9E5F81" w14:textId="77777777" w:rsidR="007F65B7" w:rsidRDefault="007F65B7" w:rsidP="007F65B7">
      <w:pPr>
        <w:spacing w:line="240" w:lineRule="auto"/>
        <w:jc w:val="both"/>
        <w:rPr>
          <w:sz w:val="20"/>
          <w:szCs w:val="20"/>
        </w:rPr>
      </w:pPr>
      <w:r>
        <w:rPr>
          <w:vertAlign w:val="superscript"/>
        </w:rPr>
        <w:footnoteRef/>
      </w:r>
      <w:r>
        <w:rPr>
          <w:sz w:val="20"/>
          <w:szCs w:val="20"/>
        </w:rPr>
        <w:t xml:space="preserve"> Suit No FHC/PH/CS/149/2020 (FHC Port Harcourt, 9 August 2021, Pam J); see also Legalpedia, 'Tax Collection Belongs to the State Not FIRS, the Federal High Court Judgment Rivers State' &lt;https://legalpediaonline.com/tax-collection-belongs-to-the-state-not-firs-the-federal-high-court-judgment-rivers-state/&gt; accessed 22 July 2026.</w:t>
      </w:r>
    </w:p>
  </w:footnote>
  <w:footnote w:id="17">
    <w:p w14:paraId="0CC2AB43" w14:textId="77777777" w:rsidR="007F65B7" w:rsidRDefault="007F65B7" w:rsidP="007F65B7">
      <w:pPr>
        <w:spacing w:line="240" w:lineRule="auto"/>
        <w:jc w:val="both"/>
        <w:rPr>
          <w:sz w:val="20"/>
          <w:szCs w:val="20"/>
        </w:rPr>
      </w:pPr>
      <w:r>
        <w:rPr>
          <w:vertAlign w:val="superscript"/>
        </w:rPr>
        <w:footnoteRef/>
      </w:r>
      <w:r>
        <w:rPr>
          <w:sz w:val="20"/>
          <w:szCs w:val="20"/>
        </w:rPr>
        <w:t>TheCable, 'Rivers Takes FIRS to Supreme Court Over VAT Collection' &lt;https://www.thecable.ng/rivers-takes-firs-to-supreme-court-over-vat-collection/&gt; accessed 22 July 2026.</w:t>
      </w:r>
    </w:p>
  </w:footnote>
  <w:footnote w:id="18">
    <w:p w14:paraId="2330E330" w14:textId="77777777" w:rsidR="007F65B7" w:rsidRDefault="007F65B7" w:rsidP="007F65B7">
      <w:pPr>
        <w:spacing w:line="240" w:lineRule="auto"/>
        <w:jc w:val="both"/>
        <w:rPr>
          <w:sz w:val="20"/>
          <w:szCs w:val="20"/>
        </w:rPr>
      </w:pPr>
      <w:r>
        <w:rPr>
          <w:vertAlign w:val="superscript"/>
        </w:rPr>
        <w:footnoteRef/>
      </w:r>
      <w:r>
        <w:rPr>
          <w:sz w:val="20"/>
          <w:szCs w:val="20"/>
        </w:rPr>
        <w:t>CM Advocates LLP, 'What Is eTIMS? A Guide for Kenyan Businesses' &lt;https://cmadvocates.com/blog/demystifying-etims-why-every-business-in-kenya-should-pay-attention/&gt; accessed 22 July 2026.</w:t>
      </w:r>
    </w:p>
  </w:footnote>
  <w:footnote w:id="19">
    <w:p w14:paraId="2588649B" w14:textId="77777777" w:rsidR="007F65B7" w:rsidRDefault="007F65B7" w:rsidP="007F65B7">
      <w:pPr>
        <w:spacing w:line="240" w:lineRule="auto"/>
        <w:jc w:val="both"/>
        <w:rPr>
          <w:sz w:val="20"/>
          <w:szCs w:val="20"/>
        </w:rPr>
      </w:pPr>
      <w:r>
        <w:rPr>
          <w:vertAlign w:val="superscript"/>
        </w:rPr>
        <w:footnoteRef/>
      </w:r>
      <w:r>
        <w:rPr>
          <w:sz w:val="20"/>
          <w:szCs w:val="20"/>
        </w:rPr>
        <w:t>Ibid.</w:t>
      </w:r>
    </w:p>
  </w:footnote>
  <w:footnote w:id="20">
    <w:p w14:paraId="7C8862AD" w14:textId="77777777" w:rsidR="007F65B7" w:rsidRDefault="007F65B7" w:rsidP="007F65B7">
      <w:pPr>
        <w:spacing w:line="240" w:lineRule="auto"/>
        <w:jc w:val="both"/>
        <w:rPr>
          <w:sz w:val="20"/>
          <w:szCs w:val="20"/>
        </w:rPr>
      </w:pPr>
      <w:r>
        <w:rPr>
          <w:vertAlign w:val="superscript"/>
        </w:rPr>
        <w:footnoteRef/>
      </w:r>
      <w:r>
        <w:rPr>
          <w:sz w:val="20"/>
          <w:szCs w:val="20"/>
        </w:rPr>
        <w:t>Ibid.</w:t>
      </w:r>
    </w:p>
  </w:footnote>
  <w:footnote w:id="21">
    <w:p w14:paraId="173E74EC" w14:textId="77777777" w:rsidR="007F65B7" w:rsidRDefault="007F65B7" w:rsidP="007F65B7">
      <w:pPr>
        <w:spacing w:line="240" w:lineRule="auto"/>
        <w:jc w:val="both"/>
        <w:rPr>
          <w:sz w:val="20"/>
          <w:szCs w:val="20"/>
        </w:rPr>
      </w:pPr>
      <w:r>
        <w:rPr>
          <w:vertAlign w:val="superscript"/>
        </w:rPr>
        <w:footnoteRef/>
      </w:r>
      <w:r>
        <w:rPr>
          <w:sz w:val="20"/>
          <w:szCs w:val="20"/>
        </w:rPr>
        <w:t>KRA, 'Simplified eTIMS Solutions for Informal Sector and Small Businesses' &lt;https://www.kra.go.ke/news-center/press-release/2093-simplified-etims-solutions-for-informal-sector-and-small-businesses&gt; accessed 22 July 2026.</w:t>
      </w:r>
    </w:p>
  </w:footnote>
  <w:footnote w:id="22">
    <w:p w14:paraId="52182EC4" w14:textId="77777777" w:rsidR="007F65B7" w:rsidRDefault="007F65B7" w:rsidP="007F65B7">
      <w:pPr>
        <w:spacing w:line="240" w:lineRule="auto"/>
        <w:jc w:val="both"/>
        <w:rPr>
          <w:sz w:val="20"/>
          <w:szCs w:val="20"/>
        </w:rPr>
      </w:pPr>
      <w:r>
        <w:rPr>
          <w:vertAlign w:val="superscript"/>
        </w:rPr>
        <w:footnoteRef/>
      </w:r>
      <w:r>
        <w:rPr>
          <w:sz w:val="20"/>
          <w:szCs w:val="20"/>
        </w:rPr>
        <w:t>The Eastleigh Voice, 'Eastleigh Business Community Pushes for Simpler Tax Communication by KRA to Improve Compliance' &lt;https://eastleighvoice.co.ke/eastleigh/331290/eastleigh-business-community-pushes-for-simpler-tax-communication-by-kra-to-improve-compliance&gt; accessed 22 July 2026.</w:t>
      </w:r>
    </w:p>
  </w:footnote>
  <w:footnote w:id="23">
    <w:p w14:paraId="04C6F56A" w14:textId="77777777" w:rsidR="007F65B7" w:rsidRDefault="007F65B7" w:rsidP="007F65B7">
      <w:pPr>
        <w:spacing w:line="240" w:lineRule="auto"/>
        <w:jc w:val="both"/>
        <w:rPr>
          <w:sz w:val="20"/>
          <w:szCs w:val="20"/>
        </w:rPr>
      </w:pPr>
      <w:r>
        <w:rPr>
          <w:vertAlign w:val="superscript"/>
        </w:rPr>
        <w:footnoteRef/>
      </w:r>
      <w:r>
        <w:rPr>
          <w:sz w:val="20"/>
          <w:szCs w:val="20"/>
        </w:rPr>
        <w:t>(n 21).</w:t>
      </w:r>
    </w:p>
  </w:footnote>
  <w:footnote w:id="24">
    <w:p w14:paraId="5FC19FAC" w14:textId="77777777" w:rsidR="007F65B7" w:rsidRDefault="007F65B7" w:rsidP="007F65B7">
      <w:pPr>
        <w:spacing w:line="240" w:lineRule="auto"/>
        <w:jc w:val="both"/>
        <w:rPr>
          <w:sz w:val="20"/>
          <w:szCs w:val="20"/>
        </w:rPr>
      </w:pPr>
      <w:r>
        <w:rPr>
          <w:vertAlign w:val="superscript"/>
        </w:rPr>
        <w:footnoteRef/>
      </w:r>
      <w:r>
        <w:rPr>
          <w:sz w:val="20"/>
          <w:szCs w:val="20"/>
        </w:rPr>
        <w:t>Invoicemonk, 'KRA eTIMS in Kenya: Complete E-Invoicing Guide for Small Businesses' &lt;https://invoicemonk.com/en/blog/e-invoicing-kenya-etims&gt; accessed 22 July 2026.</w:t>
      </w:r>
    </w:p>
  </w:footnote>
  <w:footnote w:id="25">
    <w:p w14:paraId="22178438" w14:textId="77777777" w:rsidR="007F65B7" w:rsidRDefault="007F65B7" w:rsidP="007F65B7">
      <w:pPr>
        <w:spacing w:line="240" w:lineRule="auto"/>
        <w:jc w:val="both"/>
        <w:rPr>
          <w:sz w:val="20"/>
          <w:szCs w:val="20"/>
        </w:rPr>
      </w:pPr>
      <w:r>
        <w:rPr>
          <w:vertAlign w:val="superscript"/>
        </w:rPr>
        <w:footnoteRef/>
      </w:r>
      <w:r>
        <w:rPr>
          <w:sz w:val="20"/>
          <w:szCs w:val="20"/>
        </w:rPr>
        <w:t>Office of the Tax Ombud (South Africa), 'Our Profile' &lt;https://www.taxombud.gov.za/profile/&gt; accessed 22 July 2026.</w:t>
      </w:r>
    </w:p>
  </w:footnote>
  <w:footnote w:id="26">
    <w:p w14:paraId="7B38200C" w14:textId="77777777" w:rsidR="007F65B7" w:rsidRDefault="007F65B7" w:rsidP="007F65B7">
      <w:pPr>
        <w:spacing w:line="240" w:lineRule="auto"/>
        <w:jc w:val="both"/>
        <w:rPr>
          <w:sz w:val="20"/>
          <w:szCs w:val="20"/>
        </w:rPr>
      </w:pPr>
      <w:r>
        <w:rPr>
          <w:vertAlign w:val="superscript"/>
        </w:rPr>
        <w:footnoteRef/>
      </w:r>
      <w:r>
        <w:rPr>
          <w:sz w:val="20"/>
          <w:szCs w:val="20"/>
        </w:rPr>
        <w:t>Office of the Tax Ombud (South Africa), 'About Us' &lt;https://www.taxombud.gov.za/about-us/&gt; accessed 23 July 2026.</w:t>
      </w:r>
    </w:p>
  </w:footnote>
  <w:footnote w:id="27">
    <w:p w14:paraId="3332660B" w14:textId="77777777" w:rsidR="007F65B7" w:rsidRDefault="007F65B7" w:rsidP="007F65B7">
      <w:pPr>
        <w:spacing w:line="240" w:lineRule="auto"/>
        <w:jc w:val="both"/>
        <w:rPr>
          <w:sz w:val="20"/>
          <w:szCs w:val="20"/>
        </w:rPr>
      </w:pPr>
      <w:r>
        <w:rPr>
          <w:vertAlign w:val="superscript"/>
        </w:rPr>
        <w:footnoteRef/>
      </w:r>
      <w:r>
        <w:rPr>
          <w:sz w:val="20"/>
          <w:szCs w:val="20"/>
        </w:rPr>
        <w:t>South African Revenue Service, 'Complain to the Tax Ombud' &lt;https://www.sars.gov.za/contact-us/complain-to-the-tax-ombud/&gt; accessed 23 July 2026.</w:t>
      </w:r>
    </w:p>
  </w:footnote>
  <w:footnote w:id="28">
    <w:p w14:paraId="2F818D3D" w14:textId="77777777" w:rsidR="007F65B7" w:rsidRDefault="007F65B7" w:rsidP="007F65B7">
      <w:pPr>
        <w:spacing w:line="240" w:lineRule="auto"/>
        <w:jc w:val="both"/>
        <w:rPr>
          <w:sz w:val="20"/>
          <w:szCs w:val="20"/>
        </w:rPr>
      </w:pPr>
      <w:r>
        <w:rPr>
          <w:vertAlign w:val="superscript"/>
        </w:rPr>
        <w:footnoteRef/>
      </w:r>
      <w:r>
        <w:rPr>
          <w:sz w:val="20"/>
          <w:szCs w:val="20"/>
        </w:rPr>
        <w:t>Tax Administration Act 28 of 2011 (South Africa), s 17.</w:t>
      </w:r>
    </w:p>
  </w:footnote>
  <w:footnote w:id="29">
    <w:p w14:paraId="18141D74" w14:textId="77777777" w:rsidR="007F65B7" w:rsidRDefault="007F65B7" w:rsidP="007F65B7">
      <w:pPr>
        <w:spacing w:line="240" w:lineRule="auto"/>
        <w:jc w:val="both"/>
        <w:rPr>
          <w:sz w:val="20"/>
          <w:szCs w:val="20"/>
        </w:rPr>
      </w:pPr>
      <w:r>
        <w:rPr>
          <w:vertAlign w:val="superscript"/>
        </w:rPr>
        <w:footnoteRef/>
      </w:r>
      <w:r>
        <w:rPr>
          <w:sz w:val="20"/>
          <w:szCs w:val="20"/>
        </w:rPr>
        <w:t>Tax Administration Act 28 of 2011 (South Africa), s 20(2).</w:t>
      </w:r>
    </w:p>
  </w:footnote>
  <w:footnote w:id="30">
    <w:p w14:paraId="56BA98C5" w14:textId="77777777" w:rsidR="007F65B7" w:rsidRDefault="007F65B7" w:rsidP="007F65B7">
      <w:pPr>
        <w:spacing w:line="240" w:lineRule="auto"/>
        <w:jc w:val="both"/>
        <w:rPr>
          <w:sz w:val="20"/>
          <w:szCs w:val="20"/>
        </w:rPr>
      </w:pPr>
      <w:r>
        <w:rPr>
          <w:vertAlign w:val="superscript"/>
        </w:rPr>
        <w:footnoteRef/>
      </w:r>
      <w:r>
        <w:rPr>
          <w:sz w:val="20"/>
          <w:szCs w:val="20"/>
        </w:rPr>
        <w:t>'Office of the Tax Ombud Launched' De Rebus (May 2014) 14 &lt;https://www.saflii.org/za/journals/DEREBUS/2014/67.html&gt; accessed 23 July 2026.</w:t>
      </w:r>
    </w:p>
  </w:footnote>
  <w:footnote w:id="31">
    <w:p w14:paraId="4F83AF28" w14:textId="77777777" w:rsidR="007F65B7" w:rsidRDefault="007F65B7" w:rsidP="007F65B7">
      <w:pPr>
        <w:spacing w:line="240" w:lineRule="auto"/>
        <w:jc w:val="both"/>
        <w:rPr>
          <w:sz w:val="20"/>
          <w:szCs w:val="20"/>
        </w:rPr>
      </w:pPr>
      <w:r>
        <w:rPr>
          <w:vertAlign w:val="superscript"/>
        </w:rPr>
        <w:footnoteRef/>
      </w:r>
      <w:r>
        <w:rPr>
          <w:sz w:val="20"/>
          <w:szCs w:val="20"/>
        </w:rPr>
        <w:t>'Tax Ombudsman Assists Public' The Mercury (South Africa, 14 October 2015) &lt;https://www.pressreader.com/south-africa/the-mercury-south-africa/20151014/281608124270317&gt; accessed 23 July 2026.</w:t>
      </w:r>
    </w:p>
  </w:footnote>
  <w:footnote w:id="32">
    <w:p w14:paraId="09E37976" w14:textId="77777777" w:rsidR="007F65B7" w:rsidRDefault="007F65B7" w:rsidP="007F65B7">
      <w:pPr>
        <w:spacing w:line="240" w:lineRule="auto"/>
        <w:jc w:val="both"/>
        <w:rPr>
          <w:sz w:val="20"/>
          <w:szCs w:val="20"/>
        </w:rPr>
      </w:pPr>
      <w:r>
        <w:rPr>
          <w:vertAlign w:val="superscript"/>
        </w:rPr>
        <w:footnoteRef/>
      </w:r>
      <w:r>
        <w:rPr>
          <w:sz w:val="20"/>
          <w:szCs w:val="20"/>
        </w:rPr>
        <w:t>Bowmans, 'Tax Ombud Complaints – Get Your Matter Dealt With' &lt;https://bowmanslaw.com/insights/tax-ombud-complaints-get-matter-dealt/&gt; accessed 23 July 2026.</w:t>
      </w:r>
    </w:p>
  </w:footnote>
  <w:footnote w:id="33">
    <w:p w14:paraId="76B754DE" w14:textId="77777777" w:rsidR="007F65B7" w:rsidRDefault="007F65B7" w:rsidP="007F65B7">
      <w:pPr>
        <w:spacing w:line="240" w:lineRule="auto"/>
        <w:jc w:val="both"/>
        <w:rPr>
          <w:sz w:val="20"/>
          <w:szCs w:val="20"/>
        </w:rPr>
      </w:pPr>
      <w:r>
        <w:rPr>
          <w:vertAlign w:val="superscript"/>
        </w:rPr>
        <w:footnoteRef/>
      </w:r>
      <w:r>
        <w:rPr>
          <w:sz w:val="20"/>
          <w:szCs w:val="20"/>
        </w:rPr>
        <w:t>Lexology, 'Tax Ombud: How It Works and How It Is Performing' &lt;https://www.lexology.com/library/detail.aspx?g=cebd2ba7-8c08-4aab-945e-4a410fb41529&gt; accessed 23 July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A0AB9"/>
    <w:multiLevelType w:val="multilevel"/>
    <w:tmpl w:val="09544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391E07"/>
    <w:multiLevelType w:val="multilevel"/>
    <w:tmpl w:val="3D22A200"/>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6B47067"/>
    <w:multiLevelType w:val="multilevel"/>
    <w:tmpl w:val="C4626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1336471">
    <w:abstractNumId w:val="0"/>
  </w:num>
  <w:num w:numId="2" w16cid:durableId="542135925">
    <w:abstractNumId w:val="2"/>
  </w:num>
  <w:num w:numId="3" w16cid:durableId="143000329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B7"/>
    <w:rsid w:val="00097A72"/>
    <w:rsid w:val="00153CFD"/>
    <w:rsid w:val="00163B5A"/>
    <w:rsid w:val="00331BAC"/>
    <w:rsid w:val="004603A3"/>
    <w:rsid w:val="007F65B7"/>
    <w:rsid w:val="008A3FC5"/>
    <w:rsid w:val="0093488D"/>
    <w:rsid w:val="00965540"/>
    <w:rsid w:val="00C341E3"/>
    <w:rsid w:val="00CF54D5"/>
    <w:rsid w:val="00D57B3A"/>
    <w:rsid w:val="00DE5613"/>
    <w:rsid w:val="00E0425C"/>
    <w:rsid w:val="00FB1931"/>
    <w:rsid w:val="00FF398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ecimalSymbol w:val="."/>
  <w:listSeparator w:val=","/>
  <w14:docId w14:val="46938694"/>
  <w15:chartTrackingRefBased/>
  <w15:docId w15:val="{FB8833DF-0B95-D844-837D-85F75AB2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5B7"/>
    <w:pPr>
      <w:spacing w:after="0" w:line="36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F6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5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5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5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5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5B7"/>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F65B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F65B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F65B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F65B7"/>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F65B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F65B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F65B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F65B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F6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5B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F6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5B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F65B7"/>
    <w:pPr>
      <w:spacing w:before="160"/>
      <w:jc w:val="center"/>
    </w:pPr>
    <w:rPr>
      <w:i/>
      <w:iCs/>
      <w:color w:val="404040" w:themeColor="text1" w:themeTint="BF"/>
    </w:rPr>
  </w:style>
  <w:style w:type="character" w:customStyle="1" w:styleId="QuoteChar">
    <w:name w:val="Quote Char"/>
    <w:basedOn w:val="DefaultParagraphFont"/>
    <w:link w:val="Quote"/>
    <w:uiPriority w:val="29"/>
    <w:rsid w:val="007F65B7"/>
    <w:rPr>
      <w:i/>
      <w:iCs/>
      <w:color w:val="404040" w:themeColor="text1" w:themeTint="BF"/>
      <w:lang w:val="en-GB"/>
    </w:rPr>
  </w:style>
  <w:style w:type="paragraph" w:styleId="ListParagraph">
    <w:name w:val="List Paragraph"/>
    <w:basedOn w:val="Normal"/>
    <w:uiPriority w:val="34"/>
    <w:qFormat/>
    <w:rsid w:val="007F65B7"/>
    <w:pPr>
      <w:ind w:left="720"/>
      <w:contextualSpacing/>
    </w:pPr>
  </w:style>
  <w:style w:type="character" w:styleId="IntenseEmphasis">
    <w:name w:val="Intense Emphasis"/>
    <w:basedOn w:val="DefaultParagraphFont"/>
    <w:uiPriority w:val="21"/>
    <w:qFormat/>
    <w:rsid w:val="007F65B7"/>
    <w:rPr>
      <w:i/>
      <w:iCs/>
      <w:color w:val="0F4761" w:themeColor="accent1" w:themeShade="BF"/>
    </w:rPr>
  </w:style>
  <w:style w:type="paragraph" w:styleId="IntenseQuote">
    <w:name w:val="Intense Quote"/>
    <w:basedOn w:val="Normal"/>
    <w:next w:val="Normal"/>
    <w:link w:val="IntenseQuoteChar"/>
    <w:uiPriority w:val="30"/>
    <w:qFormat/>
    <w:rsid w:val="007F6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5B7"/>
    <w:rPr>
      <w:i/>
      <w:iCs/>
      <w:color w:val="0F4761" w:themeColor="accent1" w:themeShade="BF"/>
      <w:lang w:val="en-GB"/>
    </w:rPr>
  </w:style>
  <w:style w:type="character" w:styleId="IntenseReference">
    <w:name w:val="Intense Reference"/>
    <w:basedOn w:val="DefaultParagraphFont"/>
    <w:uiPriority w:val="32"/>
    <w:qFormat/>
    <w:rsid w:val="007F65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2683</Words>
  <Characters>15298</Characters>
  <Application>Microsoft Office Word</Application>
  <DocSecurity>0</DocSecurity>
  <Lines>127</Lines>
  <Paragraphs>35</Paragraphs>
  <ScaleCrop>false</ScaleCrop>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1</cp:revision>
  <dcterms:created xsi:type="dcterms:W3CDTF">2026-08-06T09:04:00Z</dcterms:created>
  <dcterms:modified xsi:type="dcterms:W3CDTF">2026-08-06T09:05:00Z</dcterms:modified>
</cp:coreProperties>
</file>